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F0D2" w14:textId="1E5C20E2" w:rsidR="00C439A3" w:rsidRDefault="000F2FAB" w:rsidP="00F44548">
      <w:pPr>
        <w:jc w:val="center"/>
      </w:pPr>
      <w:r>
        <w:t>elliottj</w:t>
      </w:r>
      <w:r w:rsidR="00F44548" w:rsidRPr="00F44548">
        <w:rPr>
          <w:noProof/>
        </w:rPr>
        <w:drawing>
          <wp:inline distT="0" distB="0" distL="0" distR="0" wp14:anchorId="2A746729" wp14:editId="21BDC4E7">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18C9A1C6" w14:textId="77777777" w:rsidR="00F44548" w:rsidRDefault="00F44548">
      <w:pPr>
        <w:jc w:val="right"/>
      </w:pPr>
    </w:p>
    <w:p w14:paraId="08687A7D" w14:textId="66A141D4" w:rsidR="00C439A3" w:rsidRDefault="00C439A3">
      <w:pPr>
        <w:pStyle w:val="CoverText"/>
        <w:jc w:val="left"/>
        <w:rPr>
          <w:bCs/>
          <w:sz w:val="20"/>
          <w:u w:val="none"/>
        </w:rPr>
      </w:pPr>
      <w:r>
        <w:rPr>
          <w:bCs/>
        </w:rPr>
        <w:t xml:space="preserve">Neutral Citation Number: </w:t>
      </w:r>
      <w:r w:rsidR="0008085E">
        <w:rPr>
          <w:bCs/>
        </w:rPr>
        <w:t xml:space="preserve">[2021] EWCA </w:t>
      </w:r>
      <w:proofErr w:type="spellStart"/>
      <w:r w:rsidR="0008085E">
        <w:rPr>
          <w:bCs/>
        </w:rPr>
        <w:t>Civ</w:t>
      </w:r>
      <w:proofErr w:type="spellEnd"/>
      <w:r w:rsidR="0008085E">
        <w:rPr>
          <w:bCs/>
        </w:rPr>
        <w:t xml:space="preserve"> 720</w:t>
      </w:r>
      <w:r>
        <w:rPr>
          <w:bCs/>
        </w:rPr>
        <w:br/>
      </w:r>
    </w:p>
    <w:p w14:paraId="2B2FCADA" w14:textId="6A820BE7" w:rsidR="00C439A3" w:rsidRDefault="00C439A3">
      <w:pPr>
        <w:pStyle w:val="CoverText"/>
        <w:rPr>
          <w:b/>
          <w:spacing w:val="-3"/>
        </w:rPr>
      </w:pPr>
      <w:r>
        <w:t xml:space="preserve">Case No: </w:t>
      </w:r>
      <w:r w:rsidR="00070CC6">
        <w:t>B2/2020/1164</w:t>
      </w:r>
    </w:p>
    <w:p w14:paraId="6385E4EF"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070CC6">
        <w:t>CIVIL</w:t>
      </w:r>
      <w:r>
        <w:t xml:space="preserve"> DIVISION)</w:t>
      </w:r>
    </w:p>
    <w:p w14:paraId="22AC9991" w14:textId="06B01A8D"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070CC6">
        <w:t>THE COUNTY COURT AT CENTRAL LONDON</w:t>
      </w:r>
    </w:p>
    <w:p w14:paraId="528C0300" w14:textId="3D3B5915"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His Honour Judge Bailey</w:t>
      </w:r>
    </w:p>
    <w:p w14:paraId="605C0119" w14:textId="55176549"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Case No: E01RM712</w:t>
      </w:r>
    </w:p>
    <w:p w14:paraId="44A2FDB7" w14:textId="77777777" w:rsidR="00C439A3" w:rsidRDefault="00C439A3">
      <w:pPr>
        <w:pStyle w:val="CoverText"/>
      </w:pPr>
      <w:r>
        <w:t>Royal Courts of Justice</w:t>
      </w:r>
    </w:p>
    <w:p w14:paraId="3BEC22F5" w14:textId="77777777" w:rsidR="00C439A3" w:rsidRDefault="00C439A3">
      <w:pPr>
        <w:pStyle w:val="CoverText"/>
      </w:pPr>
      <w:r>
        <w:t>Strand, London, WC2A 2LL</w:t>
      </w:r>
    </w:p>
    <w:p w14:paraId="6D05E3CC" w14:textId="77777777" w:rsidR="00C439A3" w:rsidRDefault="00C439A3">
      <w:pPr>
        <w:suppressAutoHyphens/>
        <w:jc w:val="right"/>
        <w:rPr>
          <w:spacing w:val="-3"/>
          <w:u w:val="single"/>
        </w:rPr>
      </w:pPr>
    </w:p>
    <w:p w14:paraId="1600FE4D" w14:textId="1E702161" w:rsidR="00C439A3" w:rsidRDefault="00C439A3">
      <w:pPr>
        <w:pStyle w:val="CoverText"/>
        <w:rPr>
          <w:b/>
        </w:rPr>
      </w:pPr>
      <w:r>
        <w:t xml:space="preserve">Date: </w:t>
      </w:r>
      <w:r w:rsidR="0008085E">
        <w:t>18/05/2021</w:t>
      </w:r>
    </w:p>
    <w:p w14:paraId="3F2886BF" w14:textId="4E97FFC0" w:rsidR="00C439A3" w:rsidRDefault="00C439A3">
      <w:pPr>
        <w:suppressAutoHyphens/>
        <w:jc w:val="center"/>
        <w:rPr>
          <w:b/>
          <w:spacing w:val="-3"/>
        </w:rPr>
      </w:pPr>
      <w:r>
        <w:rPr>
          <w:b/>
          <w:spacing w:val="-3"/>
        </w:rPr>
        <w:t>Before:</w:t>
      </w:r>
    </w:p>
    <w:p w14:paraId="10C61EC3" w14:textId="77777777" w:rsidR="00C439A3" w:rsidRDefault="00C439A3">
      <w:pPr>
        <w:suppressAutoHyphens/>
        <w:jc w:val="center"/>
        <w:rPr>
          <w:spacing w:val="-3"/>
        </w:rPr>
      </w:pPr>
    </w:p>
    <w:p w14:paraId="1B96DC5C" w14:textId="28B441A5"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NEWEY</w:t>
      </w:r>
    </w:p>
    <w:p w14:paraId="05906DC6" w14:textId="6AF57D2A"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r w:rsidR="00C439A3">
        <w:br/>
      </w:r>
      <w:r w:rsidR="00C439A3">
        <w:rPr>
          <w:b w:val="0"/>
          <w:bCs/>
          <w:u w:val="none"/>
        </w:rPr>
        <w:t>and</w:t>
      </w:r>
    </w:p>
    <w:p w14:paraId="10CFE8D3" w14:textId="3BE9853D"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STUART-SMITH</w:t>
      </w:r>
    </w:p>
    <w:p w14:paraId="13239A5B" w14:textId="77777777" w:rsidR="00C439A3" w:rsidRDefault="00C439A3">
      <w:pPr>
        <w:suppressAutoHyphens/>
        <w:jc w:val="center"/>
        <w:rPr>
          <w:spacing w:val="-3"/>
        </w:rPr>
      </w:pPr>
      <w:r>
        <w:rPr>
          <w:spacing w:val="-3"/>
        </w:rPr>
        <w:t>- - - - - - - - - - - - - - - - - - - - -</w:t>
      </w:r>
    </w:p>
    <w:p w14:paraId="57E55545" w14:textId="08A93D9F" w:rsidR="00C439A3" w:rsidRDefault="00C439A3">
      <w:pPr>
        <w:suppressAutoHyphens/>
        <w:jc w:val="center"/>
        <w:rPr>
          <w:b/>
          <w:spacing w:val="-3"/>
        </w:rPr>
      </w:pPr>
      <w:r>
        <w:rPr>
          <w:b/>
          <w:spacing w:val="-3"/>
        </w:rPr>
        <w:t>Between:</w:t>
      </w:r>
    </w:p>
    <w:p w14:paraId="14052B75"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47EB25EE" w14:textId="77777777">
        <w:tc>
          <w:tcPr>
            <w:tcW w:w="1314" w:type="dxa"/>
          </w:tcPr>
          <w:p w14:paraId="2560F6DB" w14:textId="77777777" w:rsidR="00C439A3" w:rsidRDefault="00C439A3">
            <w:pPr>
              <w:suppressAutoHyphens/>
              <w:rPr>
                <w:b/>
                <w:spacing w:val="-3"/>
              </w:rPr>
            </w:pPr>
          </w:p>
        </w:tc>
        <w:tc>
          <w:tcPr>
            <w:tcW w:w="6210" w:type="dxa"/>
          </w:tcPr>
          <w:p w14:paraId="13EAF0C0" w14:textId="6371A670" w:rsidR="00C439A3" w:rsidRDefault="00070CC6">
            <w:pPr>
              <w:suppressAutoHyphens/>
              <w:jc w:val="center"/>
              <w:rPr>
                <w:b/>
                <w:spacing w:val="-3"/>
              </w:rPr>
            </w:pPr>
            <w:r>
              <w:rPr>
                <w:b/>
                <w:spacing w:val="-3"/>
              </w:rPr>
              <w:t>KELLY ELLIOTT</w:t>
            </w:r>
          </w:p>
        </w:tc>
        <w:tc>
          <w:tcPr>
            <w:tcW w:w="1440" w:type="dxa"/>
          </w:tcPr>
          <w:p w14:paraId="4D025B07" w14:textId="77777777" w:rsidR="00070CC6"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Claimant/</w:t>
            </w:r>
          </w:p>
          <w:p w14:paraId="3722AA47" w14:textId="7A6698D7"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r w:rsidR="00C439A3" w14:paraId="11BCE065" w14:textId="77777777">
        <w:tc>
          <w:tcPr>
            <w:tcW w:w="1314" w:type="dxa"/>
          </w:tcPr>
          <w:p w14:paraId="231B07E2" w14:textId="77777777" w:rsidR="00C439A3" w:rsidRDefault="00C439A3">
            <w:pPr>
              <w:suppressAutoHyphens/>
              <w:rPr>
                <w:b/>
                <w:spacing w:val="-3"/>
              </w:rPr>
            </w:pPr>
          </w:p>
        </w:tc>
        <w:tc>
          <w:tcPr>
            <w:tcW w:w="6210" w:type="dxa"/>
          </w:tcPr>
          <w:p w14:paraId="5F0A3C92" w14:textId="77777777" w:rsidR="00C439A3" w:rsidRDefault="00C439A3">
            <w:pPr>
              <w:tabs>
                <w:tab w:val="center" w:pos="3312"/>
              </w:tabs>
              <w:suppressAutoHyphens/>
              <w:jc w:val="center"/>
              <w:rPr>
                <w:b/>
                <w:spacing w:val="-3"/>
              </w:rPr>
            </w:pPr>
            <w:r>
              <w:rPr>
                <w:b/>
                <w:spacing w:val="-3"/>
              </w:rPr>
              <w:t>- and -</w:t>
            </w:r>
          </w:p>
        </w:tc>
        <w:tc>
          <w:tcPr>
            <w:tcW w:w="1440" w:type="dxa"/>
          </w:tcPr>
          <w:p w14:paraId="26C29438" w14:textId="77777777" w:rsidR="00C439A3" w:rsidRDefault="00C439A3">
            <w:pPr>
              <w:suppressAutoHyphens/>
              <w:jc w:val="right"/>
              <w:rPr>
                <w:b/>
                <w:spacing w:val="-3"/>
              </w:rPr>
            </w:pPr>
          </w:p>
        </w:tc>
      </w:tr>
      <w:tr w:rsidR="00C439A3" w14:paraId="3F8894A7" w14:textId="77777777">
        <w:tc>
          <w:tcPr>
            <w:tcW w:w="1314" w:type="dxa"/>
          </w:tcPr>
          <w:p w14:paraId="15F93113" w14:textId="77777777" w:rsidR="00C439A3" w:rsidRDefault="00C439A3">
            <w:pPr>
              <w:suppressAutoHyphens/>
              <w:rPr>
                <w:b/>
                <w:spacing w:val="-3"/>
              </w:rPr>
            </w:pPr>
          </w:p>
        </w:tc>
        <w:tc>
          <w:tcPr>
            <w:tcW w:w="6210" w:type="dxa"/>
          </w:tcPr>
          <w:p w14:paraId="13DC6A17" w14:textId="331744F9" w:rsidR="00C439A3" w:rsidRDefault="00070CC6">
            <w:pPr>
              <w:tabs>
                <w:tab w:val="center" w:pos="3312"/>
              </w:tabs>
              <w:suppressAutoHyphens/>
              <w:jc w:val="center"/>
              <w:rPr>
                <w:b/>
                <w:spacing w:val="-3"/>
              </w:rPr>
            </w:pPr>
            <w:r>
              <w:rPr>
                <w:b/>
                <w:spacing w:val="-3"/>
              </w:rPr>
              <w:t>HATTENS SOLICITORS (a firm)</w:t>
            </w:r>
          </w:p>
        </w:tc>
        <w:tc>
          <w:tcPr>
            <w:tcW w:w="1440" w:type="dxa"/>
          </w:tcPr>
          <w:p w14:paraId="0A6881E3" w14:textId="77777777" w:rsidR="00C439A3"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Defendants/</w:t>
            </w:r>
          </w:p>
          <w:p w14:paraId="09DEB313" w14:textId="106D19A3" w:rsidR="00070CC6" w:rsidRDefault="00070CC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Appellants</w:t>
            </w:r>
          </w:p>
        </w:tc>
      </w:tr>
    </w:tbl>
    <w:p w14:paraId="75BB9FB5" w14:textId="77777777" w:rsidR="00C439A3" w:rsidRDefault="00C439A3">
      <w:pPr>
        <w:suppressAutoHyphens/>
        <w:rPr>
          <w:b/>
          <w:spacing w:val="-3"/>
        </w:rPr>
      </w:pPr>
    </w:p>
    <w:p w14:paraId="39EAE92D" w14:textId="77777777" w:rsidR="00C439A3" w:rsidRDefault="00C439A3">
      <w:pPr>
        <w:suppressAutoHyphens/>
        <w:jc w:val="center"/>
        <w:rPr>
          <w:spacing w:val="-3"/>
        </w:rPr>
      </w:pPr>
      <w:r>
        <w:rPr>
          <w:spacing w:val="-3"/>
        </w:rPr>
        <w:t>- - - - - - - - - - - - - - - - - - - - -</w:t>
      </w:r>
    </w:p>
    <w:p w14:paraId="04003818" w14:textId="77777777" w:rsidR="00C439A3" w:rsidRDefault="00C439A3">
      <w:pPr>
        <w:suppressAutoHyphens/>
        <w:jc w:val="center"/>
        <w:rPr>
          <w:spacing w:val="-3"/>
        </w:rPr>
      </w:pPr>
      <w:r>
        <w:rPr>
          <w:spacing w:val="-3"/>
        </w:rPr>
        <w:t>- - - - - - - - - - - - - - - - - - - - -</w:t>
      </w:r>
    </w:p>
    <w:p w14:paraId="1774B4E8" w14:textId="77777777" w:rsidR="00C439A3" w:rsidRDefault="00C439A3">
      <w:pPr>
        <w:suppressAutoHyphens/>
        <w:jc w:val="center"/>
        <w:rPr>
          <w:spacing w:val="-3"/>
        </w:rPr>
      </w:pPr>
    </w:p>
    <w:p w14:paraId="734CE6FE" w14:textId="047CCEC8" w:rsidR="00C439A3" w:rsidRDefault="00070CC6">
      <w:pPr>
        <w:suppressAutoHyphens/>
        <w:jc w:val="center"/>
        <w:rPr>
          <w:bCs/>
          <w:spacing w:val="-3"/>
        </w:rPr>
      </w:pPr>
      <w:r>
        <w:rPr>
          <w:b/>
          <w:spacing w:val="-3"/>
        </w:rPr>
        <w:t>Mr Simon Goldstone</w:t>
      </w:r>
      <w:r w:rsidR="00C439A3">
        <w:rPr>
          <w:bCs/>
          <w:spacing w:val="-3"/>
        </w:rPr>
        <w:t xml:space="preserve"> (instructed by </w:t>
      </w:r>
      <w:r>
        <w:rPr>
          <w:b/>
          <w:spacing w:val="-3"/>
        </w:rPr>
        <w:t>Reynolds Porter Chamberlain LLP</w:t>
      </w:r>
      <w:r w:rsidR="00C439A3">
        <w:rPr>
          <w:bCs/>
          <w:spacing w:val="-3"/>
        </w:rPr>
        <w:t xml:space="preserve">) for the </w:t>
      </w:r>
      <w:r>
        <w:rPr>
          <w:b/>
          <w:spacing w:val="-3"/>
        </w:rPr>
        <w:t>Appellants</w:t>
      </w:r>
    </w:p>
    <w:p w14:paraId="68469FBF" w14:textId="5D4351E9" w:rsidR="00C439A3" w:rsidRDefault="00070CC6">
      <w:pPr>
        <w:suppressAutoHyphens/>
        <w:jc w:val="center"/>
        <w:rPr>
          <w:bCs/>
          <w:spacing w:val="-3"/>
        </w:rPr>
      </w:pPr>
      <w:r>
        <w:rPr>
          <w:b/>
          <w:spacing w:val="-3"/>
        </w:rPr>
        <w:t>Mr Daniel Crowley</w:t>
      </w:r>
      <w:r w:rsidR="00C439A3">
        <w:rPr>
          <w:b/>
          <w:spacing w:val="-3"/>
        </w:rPr>
        <w:t xml:space="preserve"> </w:t>
      </w:r>
      <w:r w:rsidR="00C439A3">
        <w:rPr>
          <w:bCs/>
          <w:spacing w:val="-3"/>
        </w:rPr>
        <w:t>(instructed by</w:t>
      </w:r>
      <w:r w:rsidR="00C439A3">
        <w:rPr>
          <w:b/>
          <w:spacing w:val="-3"/>
        </w:rPr>
        <w:t xml:space="preserve"> </w:t>
      </w:r>
      <w:r>
        <w:rPr>
          <w:b/>
          <w:spacing w:val="-3"/>
        </w:rPr>
        <w:t>Clarkson Wright &amp; Jakes Ltd</w:t>
      </w:r>
      <w:r w:rsidR="00C439A3">
        <w:rPr>
          <w:bCs/>
          <w:spacing w:val="-3"/>
        </w:rPr>
        <w:t xml:space="preserve">) for the </w:t>
      </w:r>
      <w:r>
        <w:rPr>
          <w:b/>
          <w:spacing w:val="-3"/>
        </w:rPr>
        <w:t>Respondent</w:t>
      </w:r>
    </w:p>
    <w:p w14:paraId="786B5DCA" w14:textId="77777777" w:rsidR="00C439A3" w:rsidRDefault="00C439A3">
      <w:pPr>
        <w:suppressAutoHyphens/>
        <w:jc w:val="center"/>
        <w:rPr>
          <w:b/>
          <w:spacing w:val="-3"/>
        </w:rPr>
      </w:pPr>
    </w:p>
    <w:p w14:paraId="49FA14CE" w14:textId="5262E235" w:rsidR="00C439A3" w:rsidRDefault="00C439A3">
      <w:pPr>
        <w:suppressAutoHyphens/>
        <w:jc w:val="center"/>
        <w:rPr>
          <w:spacing w:val="-3"/>
        </w:rPr>
      </w:pPr>
      <w:r>
        <w:rPr>
          <w:spacing w:val="-3"/>
        </w:rPr>
        <w:t xml:space="preserve">Hearing date: </w:t>
      </w:r>
      <w:r w:rsidR="00070CC6">
        <w:rPr>
          <w:spacing w:val="-3"/>
        </w:rPr>
        <w:t>27 April 2021</w:t>
      </w:r>
    </w:p>
    <w:p w14:paraId="19FCF795" w14:textId="77777777" w:rsidR="00C439A3" w:rsidRDefault="00C439A3">
      <w:pPr>
        <w:suppressAutoHyphens/>
        <w:jc w:val="center"/>
        <w:rPr>
          <w:spacing w:val="-3"/>
        </w:rPr>
      </w:pPr>
      <w:r>
        <w:rPr>
          <w:spacing w:val="-3"/>
        </w:rPr>
        <w:t>- - - - - - - - - - - - - - - - - - - - -</w:t>
      </w:r>
    </w:p>
    <w:p w14:paraId="18B2D351" w14:textId="02BD02FA" w:rsidR="00C439A3" w:rsidRDefault="00F44548" w:rsidP="00F44548">
      <w:pPr>
        <w:pStyle w:val="CoverDesc"/>
      </w:pPr>
      <w:r>
        <w:t>Approved Judgment</w:t>
      </w:r>
    </w:p>
    <w:p w14:paraId="1F618925" w14:textId="77777777" w:rsidR="00C439A3" w:rsidRDefault="00C439A3">
      <w:pPr>
        <w:pStyle w:val="CoverDesc"/>
        <w:rPr>
          <w:sz w:val="24"/>
        </w:rPr>
      </w:pPr>
    </w:p>
    <w:p w14:paraId="02EEFDD9" w14:textId="77777777" w:rsidR="00C439A3" w:rsidRDefault="00C439A3"/>
    <w:p w14:paraId="25B7F76E" w14:textId="016C8C6F" w:rsidR="006732D5" w:rsidRPr="00944978" w:rsidRDefault="006732D5" w:rsidP="006732D5">
      <w:pPr>
        <w:spacing w:after="160" w:line="252" w:lineRule="auto"/>
        <w:jc w:val="center"/>
        <w:rPr>
          <w:rFonts w:eastAsia="Calibri"/>
          <w:b/>
        </w:rPr>
      </w:pPr>
      <w:r>
        <w:rPr>
          <w:rFonts w:eastAsia="Calibri"/>
          <w:b/>
        </w:rPr>
        <w:t xml:space="preserve">Covid-19 Protocol:  This judgment was handed down remotely by circulation to the parties’ representatives by email, release to BAILII and publication on the Courts and Tribunals Judiciary website.  The date and time for hand-down is deemed to be </w:t>
      </w:r>
      <w:r w:rsidR="00944978" w:rsidRPr="00944978">
        <w:rPr>
          <w:rFonts w:eastAsia="Calibri"/>
          <w:b/>
        </w:rPr>
        <w:t xml:space="preserve">10:30am on </w:t>
      </w:r>
      <w:r w:rsidRPr="00944978">
        <w:rPr>
          <w:rFonts w:eastAsia="Calibri"/>
          <w:b/>
        </w:rPr>
        <w:t xml:space="preserve">Tuesday </w:t>
      </w:r>
      <w:r w:rsidR="00944978" w:rsidRPr="00944978">
        <w:rPr>
          <w:rFonts w:eastAsia="Calibri"/>
          <w:b/>
        </w:rPr>
        <w:t>18</w:t>
      </w:r>
      <w:r w:rsidR="00944978" w:rsidRPr="00944978">
        <w:rPr>
          <w:rFonts w:eastAsia="Calibri"/>
          <w:b/>
          <w:vertAlign w:val="superscript"/>
        </w:rPr>
        <w:t>th</w:t>
      </w:r>
      <w:r w:rsidR="00944978" w:rsidRPr="00944978">
        <w:rPr>
          <w:rFonts w:eastAsia="Calibri"/>
          <w:b/>
        </w:rPr>
        <w:t xml:space="preserve"> May 2021</w:t>
      </w:r>
    </w:p>
    <w:p w14:paraId="258D279B" w14:textId="77777777" w:rsidR="00C439A3" w:rsidRDefault="00C439A3">
      <w:pPr>
        <w:sectPr w:rsidR="00C439A3">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33351A83" w14:textId="5F84EA84" w:rsidR="00C439A3" w:rsidRDefault="00070CC6">
      <w:pPr>
        <w:spacing w:after="240"/>
        <w:sectPr w:rsidR="00C439A3">
          <w:headerReference w:type="default" r:id="rId18"/>
          <w:footerReference w:type="default" r:id="rId19"/>
          <w:pgSz w:w="11906" w:h="16838" w:code="9"/>
          <w:pgMar w:top="1440" w:right="1440" w:bottom="1440" w:left="1440" w:header="709" w:footer="709" w:gutter="0"/>
          <w:cols w:space="708"/>
          <w:docGrid w:linePitch="360"/>
        </w:sectPr>
      </w:pPr>
      <w:r>
        <w:rPr>
          <w:b/>
        </w:rPr>
        <w:t>Lord Justice Newey</w:t>
      </w:r>
      <w:r w:rsidR="00C439A3">
        <w:rPr>
          <w:b/>
        </w:rPr>
        <w:t>:</w:t>
      </w:r>
      <w:r w:rsidR="00C439A3">
        <w:t xml:space="preserve"> </w:t>
      </w:r>
    </w:p>
    <w:p w14:paraId="1746DCB9" w14:textId="063D1E32" w:rsidR="00C439A3" w:rsidRDefault="00787E04" w:rsidP="00F44548">
      <w:pPr>
        <w:pStyle w:val="ParaLevel1"/>
      </w:pPr>
      <w:r>
        <w:t xml:space="preserve">The issue on this appeal is whether the claim is barred by the Limitation Act 1980. It turns on when </w:t>
      </w:r>
      <w:r w:rsidR="00EE5B98">
        <w:t>damage was first sustained.</w:t>
      </w:r>
    </w:p>
    <w:p w14:paraId="17B9202B" w14:textId="77978CA1" w:rsidR="0048738C" w:rsidRDefault="00AE1427" w:rsidP="00F44548">
      <w:pPr>
        <w:pStyle w:val="ParaLevel1"/>
      </w:pPr>
      <w:r>
        <w:t xml:space="preserve">The appellants, </w:t>
      </w:r>
      <w:proofErr w:type="spellStart"/>
      <w:r>
        <w:t>Hattens</w:t>
      </w:r>
      <w:proofErr w:type="spellEnd"/>
      <w:r>
        <w:t xml:space="preserve">, are a firm of solicitors. In 2011, they were retained by the respondent, Mrs Kelly Elliott, to act for her </w:t>
      </w:r>
      <w:r w:rsidR="003F1856">
        <w:t xml:space="preserve">in connection with a transaction pursuant to which </w:t>
      </w:r>
      <w:r w:rsidR="004C34BF">
        <w:t xml:space="preserve">her husband was to grant her a lease and she would grant an underlease </w:t>
      </w:r>
      <w:r w:rsidR="008C3BB7">
        <w:t xml:space="preserve">to a Mr Jamie </w:t>
      </w:r>
      <w:proofErr w:type="spellStart"/>
      <w:r w:rsidR="008C3BB7">
        <w:t>Ma</w:t>
      </w:r>
      <w:r w:rsidR="00DC5A0F">
        <w:t>l</w:t>
      </w:r>
      <w:r w:rsidR="008C3BB7">
        <w:t>ster</w:t>
      </w:r>
      <w:proofErr w:type="spellEnd"/>
      <w:r w:rsidR="008C3BB7">
        <w:t>. The lease and underlease were to be of pre</w:t>
      </w:r>
      <w:r w:rsidR="00385D73">
        <w:t xml:space="preserve">mises </w:t>
      </w:r>
      <w:r w:rsidR="008B3B8C">
        <w:t xml:space="preserve">in Stanley Road, </w:t>
      </w:r>
      <w:proofErr w:type="spellStart"/>
      <w:r w:rsidR="008B3B8C">
        <w:t>Grays</w:t>
      </w:r>
      <w:proofErr w:type="spellEnd"/>
      <w:r w:rsidR="008B3B8C">
        <w:t xml:space="preserve">, Essex of which </w:t>
      </w:r>
      <w:r w:rsidR="003B17B6">
        <w:t>Mr Elliot was the freehold owner.</w:t>
      </w:r>
      <w:r w:rsidR="00845407">
        <w:t xml:space="preserve"> </w:t>
      </w:r>
      <w:r w:rsidR="002F4771">
        <w:t xml:space="preserve">As </w:t>
      </w:r>
      <w:r w:rsidR="00023717">
        <w:t xml:space="preserve">was explained to </w:t>
      </w:r>
      <w:proofErr w:type="spellStart"/>
      <w:r w:rsidR="00023717">
        <w:t>Hattens</w:t>
      </w:r>
      <w:proofErr w:type="spellEnd"/>
      <w:r w:rsidR="00023717">
        <w:t xml:space="preserve"> by estate agents acting </w:t>
      </w:r>
      <w:r w:rsidR="005C1E70">
        <w:t xml:space="preserve">for Mrs Elliott, the intention was that Mr </w:t>
      </w:r>
      <w:proofErr w:type="spellStart"/>
      <w:r w:rsidR="005C1E70">
        <w:t>Ma</w:t>
      </w:r>
      <w:r w:rsidR="00DC5A0F">
        <w:t>l</w:t>
      </w:r>
      <w:r w:rsidR="005C1E70">
        <w:t>ster’s</w:t>
      </w:r>
      <w:proofErr w:type="spellEnd"/>
      <w:r w:rsidR="005C1E70">
        <w:t xml:space="preserve"> parents</w:t>
      </w:r>
      <w:r w:rsidR="0068061C">
        <w:t xml:space="preserve"> should </w:t>
      </w:r>
      <w:r w:rsidR="00717E32">
        <w:t>guarantee his obligations under the underlease.</w:t>
      </w:r>
    </w:p>
    <w:p w14:paraId="511CC571" w14:textId="19ADF5F9" w:rsidR="00174D1B" w:rsidRDefault="00070597" w:rsidP="00F44548">
      <w:pPr>
        <w:pStyle w:val="ParaLevel1"/>
      </w:pPr>
      <w:r>
        <w:t xml:space="preserve">In pursuance of their instructions, </w:t>
      </w:r>
      <w:proofErr w:type="spellStart"/>
      <w:r>
        <w:t>Hattens</w:t>
      </w:r>
      <w:proofErr w:type="spellEnd"/>
      <w:r>
        <w:t xml:space="preserve"> prepared a lease, underlease and rent deposit deed</w:t>
      </w:r>
      <w:r w:rsidR="00D66862">
        <w:t xml:space="preserve"> which were executed </w:t>
      </w:r>
      <w:r w:rsidR="00020EA4">
        <w:t xml:space="preserve">on 24 February 2012. </w:t>
      </w:r>
      <w:r w:rsidR="00F1032A">
        <w:t xml:space="preserve">The lease in Mrs Elliott’s favour </w:t>
      </w:r>
      <w:r w:rsidR="006C4C4C">
        <w:t xml:space="preserve">was </w:t>
      </w:r>
      <w:r w:rsidR="004C4D35">
        <w:t xml:space="preserve">to </w:t>
      </w:r>
      <w:r w:rsidR="00A920B5">
        <w:t>last until</w:t>
      </w:r>
      <w:r w:rsidR="004C4D35">
        <w:t xml:space="preserve"> </w:t>
      </w:r>
      <w:r w:rsidR="00F9143A">
        <w:t xml:space="preserve">30 June 2014 and the underlease to Mr </w:t>
      </w:r>
      <w:proofErr w:type="spellStart"/>
      <w:r w:rsidR="00F9143A">
        <w:t>Ma</w:t>
      </w:r>
      <w:r w:rsidR="00DC5A0F">
        <w:t>l</w:t>
      </w:r>
      <w:r w:rsidR="00F9143A">
        <w:t>ster</w:t>
      </w:r>
      <w:proofErr w:type="spellEnd"/>
      <w:r w:rsidR="00F9143A">
        <w:t xml:space="preserve"> was for a term </w:t>
      </w:r>
      <w:r w:rsidR="00A920B5">
        <w:t>expiring</w:t>
      </w:r>
      <w:r w:rsidR="00A7317B">
        <w:t xml:space="preserve"> a little earlier in June 2014.</w:t>
      </w:r>
      <w:r w:rsidR="008C33DD">
        <w:t xml:space="preserve"> The </w:t>
      </w:r>
      <w:r w:rsidR="00722939">
        <w:t>lease included covenant</w:t>
      </w:r>
      <w:r w:rsidR="00EF6D8C">
        <w:t>s</w:t>
      </w:r>
      <w:r w:rsidR="00722939">
        <w:t xml:space="preserve"> by Mrs Elliott </w:t>
      </w:r>
      <w:r w:rsidR="0043000E">
        <w:t xml:space="preserve">as tenant </w:t>
      </w:r>
      <w:r w:rsidR="00722939">
        <w:t xml:space="preserve">to insure the premises </w:t>
      </w:r>
      <w:r w:rsidR="00DB7C3D">
        <w:t xml:space="preserve">against fire </w:t>
      </w:r>
      <w:r w:rsidR="00EF6D8C">
        <w:t xml:space="preserve">and </w:t>
      </w:r>
      <w:r w:rsidR="006160B5">
        <w:t xml:space="preserve">to </w:t>
      </w:r>
      <w:r w:rsidR="00EF6D8C">
        <w:t>keep</w:t>
      </w:r>
      <w:r w:rsidR="006866AE">
        <w:t xml:space="preserve"> them in good repair </w:t>
      </w:r>
      <w:r w:rsidR="00722939">
        <w:t>and a provision entitling the landlord to forf</w:t>
      </w:r>
      <w:r w:rsidR="0043000E">
        <w:t xml:space="preserve">eit whenever the tenant </w:t>
      </w:r>
      <w:r w:rsidR="00753571">
        <w:t>had not complied with any obligation in the lease.</w:t>
      </w:r>
      <w:r w:rsidR="00D54ECC">
        <w:t xml:space="preserve"> </w:t>
      </w:r>
      <w:r w:rsidR="000C5F1E">
        <w:t>C</w:t>
      </w:r>
      <w:r w:rsidR="00715939">
        <w:t>ovenant</w:t>
      </w:r>
      <w:r w:rsidR="000C5F1E">
        <w:t>s</w:t>
      </w:r>
      <w:r w:rsidR="00715939">
        <w:t xml:space="preserve"> by Mrs Elliott to insure w</w:t>
      </w:r>
      <w:r w:rsidR="002C4A8B">
        <w:t>ere</w:t>
      </w:r>
      <w:r w:rsidR="00715939">
        <w:t xml:space="preserve"> also to be found in the underlease</w:t>
      </w:r>
      <w:r w:rsidR="00E60483">
        <w:t xml:space="preserve">, while Mr </w:t>
      </w:r>
      <w:proofErr w:type="spellStart"/>
      <w:r w:rsidR="00E60483">
        <w:t>Ma</w:t>
      </w:r>
      <w:r w:rsidR="00DC5A0F">
        <w:t>l</w:t>
      </w:r>
      <w:r w:rsidR="00E60483">
        <w:t>ster</w:t>
      </w:r>
      <w:proofErr w:type="spellEnd"/>
      <w:r w:rsidR="00E60483">
        <w:t xml:space="preserve"> </w:t>
      </w:r>
      <w:r w:rsidR="00715939">
        <w:t>covenanted in the underlease</w:t>
      </w:r>
      <w:r w:rsidR="00E60483">
        <w:t xml:space="preserve"> to </w:t>
      </w:r>
      <w:r w:rsidR="00836A27">
        <w:t>kee</w:t>
      </w:r>
      <w:r w:rsidR="00F32C8A">
        <w:t>p the property in repair as well as to pay the rent</w:t>
      </w:r>
      <w:r w:rsidR="0077502C">
        <w:t xml:space="preserve">, subject to exceptions in respect of damage </w:t>
      </w:r>
      <w:r w:rsidR="00E42217">
        <w:t xml:space="preserve">by “Insured Risks” </w:t>
      </w:r>
      <w:r w:rsidR="0081265C">
        <w:t xml:space="preserve">unless </w:t>
      </w:r>
      <w:r w:rsidR="001A65B4">
        <w:t xml:space="preserve">payment of insurance money was withheld by reason of an act or </w:t>
      </w:r>
      <w:r w:rsidR="00174D1B">
        <w:t xml:space="preserve">default on Mr </w:t>
      </w:r>
      <w:proofErr w:type="spellStart"/>
      <w:r w:rsidR="00174D1B">
        <w:t>Ma</w:t>
      </w:r>
      <w:r w:rsidR="00DC5A0F">
        <w:t>l</w:t>
      </w:r>
      <w:r w:rsidR="00174D1B">
        <w:t>ster’s</w:t>
      </w:r>
      <w:proofErr w:type="spellEnd"/>
      <w:r w:rsidR="00174D1B">
        <w:t xml:space="preserve"> part.</w:t>
      </w:r>
    </w:p>
    <w:p w14:paraId="3F94BBB2" w14:textId="2E9FEFE7" w:rsidR="001433EF" w:rsidRDefault="001433EF" w:rsidP="00F44548">
      <w:pPr>
        <w:pStyle w:val="ParaLevel1"/>
      </w:pPr>
      <w:r>
        <w:t xml:space="preserve">By mistake, </w:t>
      </w:r>
      <w:proofErr w:type="spellStart"/>
      <w:r>
        <w:t>Hattens</w:t>
      </w:r>
      <w:proofErr w:type="spellEnd"/>
      <w:r>
        <w:t xml:space="preserve"> failed to </w:t>
      </w:r>
      <w:r w:rsidR="007D2769">
        <w:t xml:space="preserve">name Mr </w:t>
      </w:r>
      <w:proofErr w:type="spellStart"/>
      <w:r w:rsidR="007D2769">
        <w:t>Ma</w:t>
      </w:r>
      <w:r w:rsidR="00DC5A0F">
        <w:t>l</w:t>
      </w:r>
      <w:r w:rsidR="007D2769">
        <w:t>ster’s</w:t>
      </w:r>
      <w:proofErr w:type="spellEnd"/>
      <w:r w:rsidR="007D2769">
        <w:t xml:space="preserve"> parents as parties to the underlease</w:t>
      </w:r>
      <w:r w:rsidR="006160B5">
        <w:t>,</w:t>
      </w:r>
      <w:r w:rsidR="007D2769">
        <w:t xml:space="preserve"> and </w:t>
      </w:r>
      <w:r w:rsidR="006160B5">
        <w:t xml:space="preserve">Mr </w:t>
      </w:r>
      <w:proofErr w:type="spellStart"/>
      <w:r w:rsidR="006160B5">
        <w:t>Ma</w:t>
      </w:r>
      <w:r w:rsidR="00DC5A0F">
        <w:t>l</w:t>
      </w:r>
      <w:r w:rsidR="006160B5">
        <w:t>ster’s</w:t>
      </w:r>
      <w:proofErr w:type="spellEnd"/>
      <w:r w:rsidR="006160B5">
        <w:t xml:space="preserve"> parents</w:t>
      </w:r>
      <w:r w:rsidR="007D2769">
        <w:t xml:space="preserve"> neither executed </w:t>
      </w:r>
      <w:r w:rsidR="00DA3248">
        <w:t>the underlease</w:t>
      </w:r>
      <w:r w:rsidR="007D2769">
        <w:t xml:space="preserve"> nor otherwise bec</w:t>
      </w:r>
      <w:r w:rsidR="00D75248">
        <w:t>ame guarantors.</w:t>
      </w:r>
      <w:r w:rsidR="00D93CD4">
        <w:t xml:space="preserve"> Further, </w:t>
      </w:r>
      <w:proofErr w:type="spellStart"/>
      <w:r w:rsidR="00DA3248">
        <w:t>Hattens</w:t>
      </w:r>
      <w:proofErr w:type="spellEnd"/>
      <w:r w:rsidR="00D93CD4">
        <w:t xml:space="preserve"> did not advise Mrs Elliott </w:t>
      </w:r>
      <w:r w:rsidR="00EA4025">
        <w:t>to obtain insurance. In the circumstances,</w:t>
      </w:r>
      <w:r w:rsidR="00BA5675">
        <w:t xml:space="preserve"> </w:t>
      </w:r>
      <w:proofErr w:type="spellStart"/>
      <w:r w:rsidR="00BA5675">
        <w:t>Hattens</w:t>
      </w:r>
      <w:proofErr w:type="spellEnd"/>
      <w:r w:rsidR="00BA5675">
        <w:t xml:space="preserve"> accept that they failed to exercise reasonable </w:t>
      </w:r>
      <w:r w:rsidR="00244583">
        <w:t>skill and care in drafting the documentation and advising Mrs Elliott.</w:t>
      </w:r>
    </w:p>
    <w:p w14:paraId="02F494AD" w14:textId="02AE18FA" w:rsidR="00561760" w:rsidRDefault="00561760" w:rsidP="00F44548">
      <w:pPr>
        <w:pStyle w:val="ParaLevel1"/>
      </w:pPr>
      <w:r>
        <w:t>On 6 November 2012, there was a fire at the premises which effectively destroyed the buildings there</w:t>
      </w:r>
      <w:r w:rsidR="00A94636">
        <w:t xml:space="preserve">. Mr </w:t>
      </w:r>
      <w:proofErr w:type="spellStart"/>
      <w:r w:rsidR="00A94636">
        <w:t>Ma</w:t>
      </w:r>
      <w:r w:rsidR="00DC5A0F">
        <w:t>l</w:t>
      </w:r>
      <w:r w:rsidR="00A94636">
        <w:t>ster</w:t>
      </w:r>
      <w:proofErr w:type="spellEnd"/>
      <w:r w:rsidR="00A94636">
        <w:t xml:space="preserve"> subsequently </w:t>
      </w:r>
      <w:r w:rsidR="00B340D6">
        <w:t>vacated the property without undertaking repairs</w:t>
      </w:r>
      <w:r w:rsidR="007F1A88">
        <w:t xml:space="preserve">. </w:t>
      </w:r>
      <w:r w:rsidR="00471A42">
        <w:t xml:space="preserve">Mrs </w:t>
      </w:r>
      <w:r w:rsidR="002A59C4">
        <w:t>Elliott also lost rent.</w:t>
      </w:r>
    </w:p>
    <w:p w14:paraId="019B0B77" w14:textId="7A2421B3" w:rsidR="007A194D" w:rsidRDefault="007A194D" w:rsidP="00F44548">
      <w:pPr>
        <w:pStyle w:val="ParaLevel1"/>
      </w:pPr>
      <w:r>
        <w:t xml:space="preserve">Mrs Elliott had not taken out any insurance. </w:t>
      </w:r>
      <w:r w:rsidR="00EF7318">
        <w:t>Her husband had, on his own account, but the insurer declined cover</w:t>
      </w:r>
      <w:r w:rsidR="00CC07B9">
        <w:t xml:space="preserve">. </w:t>
      </w:r>
      <w:proofErr w:type="spellStart"/>
      <w:r w:rsidR="00CC07B9">
        <w:t>Hattens</w:t>
      </w:r>
      <w:proofErr w:type="spellEnd"/>
      <w:r w:rsidR="00CC07B9">
        <w:t xml:space="preserve">’ defence asserts that </w:t>
      </w:r>
      <w:r w:rsidR="00FC5E9B">
        <w:t>this was “as a result of a breach of warranty whereby the freeholder warranted that all waste would be swept up at the end of each working day</w:t>
      </w:r>
      <w:r w:rsidR="00E2497C">
        <w:t xml:space="preserve">, deposited in metal receptacles with metal lids and removed from the premises at intervals not exceeding </w:t>
      </w:r>
      <w:r w:rsidR="005237CE">
        <w:t>one week”</w:t>
      </w:r>
      <w:r w:rsidR="0058303C">
        <w:t xml:space="preserve"> and that the breach of warranty was “as a result of the failure of Mr </w:t>
      </w:r>
      <w:proofErr w:type="spellStart"/>
      <w:r w:rsidR="0058303C">
        <w:t>Ma</w:t>
      </w:r>
      <w:r w:rsidR="00DC5A0F">
        <w:t>l</w:t>
      </w:r>
      <w:r w:rsidR="0058303C">
        <w:t>ster</w:t>
      </w:r>
      <w:proofErr w:type="spellEnd"/>
      <w:r w:rsidR="0058303C">
        <w:t xml:space="preserve"> to implement a system of waste managemen</w:t>
      </w:r>
      <w:r w:rsidR="00197F42">
        <w:t>t that met the terms of the warranty (the terms of which he was aware and understood)”.</w:t>
      </w:r>
    </w:p>
    <w:p w14:paraId="6493ED3E" w14:textId="5A582952" w:rsidR="005237CE" w:rsidRDefault="00CE760D" w:rsidP="00F44548">
      <w:pPr>
        <w:pStyle w:val="ParaLevel1"/>
      </w:pPr>
      <w:r>
        <w:t>The present proceedings</w:t>
      </w:r>
      <w:r w:rsidR="00B04CA6">
        <w:t>, seeking damages for negligence,</w:t>
      </w:r>
      <w:r>
        <w:t xml:space="preserve"> were issued </w:t>
      </w:r>
      <w:r w:rsidR="00E24DF4">
        <w:t xml:space="preserve">by Mrs Elliott </w:t>
      </w:r>
      <w:r>
        <w:t xml:space="preserve">on 10 April </w:t>
      </w:r>
      <w:r w:rsidR="00CF0B75">
        <w:t>2018</w:t>
      </w:r>
      <w:r w:rsidR="00630BD0">
        <w:t xml:space="preserve">, more than six years after the lease and underlease </w:t>
      </w:r>
      <w:r w:rsidR="005F19FB">
        <w:t>were executed but less than six years after the fire</w:t>
      </w:r>
      <w:r w:rsidR="00CF0B75">
        <w:t xml:space="preserve">. </w:t>
      </w:r>
      <w:proofErr w:type="spellStart"/>
      <w:r w:rsidR="000B4476">
        <w:t>Hattens</w:t>
      </w:r>
      <w:proofErr w:type="spellEnd"/>
      <w:r w:rsidR="000B4476">
        <w:t xml:space="preserve"> are said to have </w:t>
      </w:r>
      <w:r w:rsidR="00B04CA6">
        <w:t xml:space="preserve">been negligent in essentially two ways: </w:t>
      </w:r>
      <w:r w:rsidR="00F928B2">
        <w:t xml:space="preserve">failing to ensure that Mr </w:t>
      </w:r>
      <w:proofErr w:type="spellStart"/>
      <w:r w:rsidR="00F928B2">
        <w:t>Ma</w:t>
      </w:r>
      <w:r w:rsidR="00DC5A0F">
        <w:t>l</w:t>
      </w:r>
      <w:r w:rsidR="00F928B2">
        <w:t>ster’s</w:t>
      </w:r>
      <w:proofErr w:type="spellEnd"/>
      <w:r w:rsidR="00F928B2">
        <w:t xml:space="preserve"> parents entered int</w:t>
      </w:r>
      <w:r w:rsidR="00C03FC8">
        <w:t xml:space="preserve">o a guarantee and failing to advise </w:t>
      </w:r>
      <w:r w:rsidR="00CD516C">
        <w:t>Mrs Elliott</w:t>
      </w:r>
      <w:r w:rsidR="00C03FC8">
        <w:t xml:space="preserve"> </w:t>
      </w:r>
      <w:r w:rsidR="00677B30">
        <w:t>of her insurance obligations under the lease and underlease.</w:t>
      </w:r>
      <w:r w:rsidR="006647C9">
        <w:t xml:space="preserve"> A schedule of loss and damage includes items </w:t>
      </w:r>
      <w:r w:rsidR="00992A5B">
        <w:t xml:space="preserve">relating to both </w:t>
      </w:r>
      <w:r w:rsidR="00E24DF4">
        <w:t xml:space="preserve">(a) </w:t>
      </w:r>
      <w:r w:rsidR="00992A5B">
        <w:t xml:space="preserve">the costs of clearing the site and rebuilding and </w:t>
      </w:r>
      <w:r w:rsidR="00E24DF4">
        <w:t>(b) loss of rent.</w:t>
      </w:r>
    </w:p>
    <w:p w14:paraId="57592812" w14:textId="7227056C" w:rsidR="005A2544" w:rsidRDefault="005A2544" w:rsidP="00F44548">
      <w:pPr>
        <w:pStyle w:val="ParaLevel1"/>
      </w:pPr>
      <w:proofErr w:type="spellStart"/>
      <w:r>
        <w:t>Hattens</w:t>
      </w:r>
      <w:proofErr w:type="spellEnd"/>
      <w:r>
        <w:t xml:space="preserve"> pleaded in their defence that </w:t>
      </w:r>
      <w:r w:rsidR="00D471D3">
        <w:t>the claim was statute-barred.</w:t>
      </w:r>
      <w:r w:rsidR="001D4185">
        <w:t xml:space="preserve"> In the circumstances, an order was mad</w:t>
      </w:r>
      <w:r w:rsidR="005F19FB">
        <w:t>e</w:t>
      </w:r>
      <w:r w:rsidR="001D4185">
        <w:t xml:space="preserve"> for the trial of a preliminary issue, viz. “Whether the Claimant’s claim is barred by virtue of the Limitation Act 1980?”</w:t>
      </w:r>
      <w:r w:rsidR="000C3D72">
        <w:t xml:space="preserve"> Directions were given for the preparation of an agreed statement of facts and </w:t>
      </w:r>
      <w:r w:rsidR="009C5CDE">
        <w:t>exchange of witness statements in relation to facts which were not agreed. In the event, the parties agreed a statement of facts and neither side</w:t>
      </w:r>
      <w:r w:rsidR="00FF5034">
        <w:t xml:space="preserve"> called any witnesses.</w:t>
      </w:r>
    </w:p>
    <w:p w14:paraId="34848AB3" w14:textId="4A726DBB" w:rsidR="00FF5034" w:rsidRDefault="005F1148" w:rsidP="00F44548">
      <w:pPr>
        <w:pStyle w:val="ParaLevel1"/>
      </w:pPr>
      <w:r>
        <w:t xml:space="preserve">His Honour Judge Bailey (“the Judge”) heard the trial of the preliminary issue on 17 May 2019 and </w:t>
      </w:r>
      <w:r w:rsidR="00F20453">
        <w:t>answered the question in the negative</w:t>
      </w:r>
      <w:r w:rsidR="00C51CE5">
        <w:t xml:space="preserve">. </w:t>
      </w:r>
      <w:r w:rsidR="001C6E18">
        <w:t>The core of his reasoning is to be found in paragraphs 19 and 20 of the ex</w:t>
      </w:r>
      <w:r w:rsidR="00A52C59">
        <w:t>tempore judgment he gave:</w:t>
      </w:r>
    </w:p>
    <w:p w14:paraId="3CFE8E3A" w14:textId="26A3F722" w:rsidR="004447DD" w:rsidRDefault="00A52C59" w:rsidP="00F44548">
      <w:pPr>
        <w:pStyle w:val="Quote"/>
      </w:pPr>
      <w:r>
        <w:t>“</w:t>
      </w:r>
      <w:r w:rsidR="00D11EDF">
        <w:t>19.</w:t>
      </w:r>
      <w:r w:rsidR="00D11EDF">
        <w:tab/>
        <w:t xml:space="preserve">It is clear from </w:t>
      </w:r>
      <w:r w:rsidR="00D11EDF">
        <w:rPr>
          <w:i/>
          <w:iCs/>
        </w:rPr>
        <w:t xml:space="preserve">Maharaj </w:t>
      </w:r>
      <w:r w:rsidR="00E3790B">
        <w:t xml:space="preserve">[i.e. </w:t>
      </w:r>
      <w:r w:rsidR="008F3E3A">
        <w:rPr>
          <w:i/>
          <w:iCs/>
        </w:rPr>
        <w:t>Maharaj v Johnson</w:t>
      </w:r>
      <w:r w:rsidR="000D7B07">
        <w:t xml:space="preserve"> </w:t>
      </w:r>
      <w:r w:rsidR="000D7B07" w:rsidRPr="000D7B07">
        <w:t>[2015] UKPC 28, [2015] PNLR 27</w:t>
      </w:r>
      <w:r w:rsidR="008F3E3A">
        <w:t>]</w:t>
      </w:r>
      <w:r w:rsidR="008F3E3A">
        <w:rPr>
          <w:i/>
          <w:iCs/>
        </w:rPr>
        <w:t xml:space="preserve"> </w:t>
      </w:r>
      <w:r w:rsidR="00D11EDF">
        <w:t xml:space="preserve">that it is not enough for a Defendant to say that the plaintiff </w:t>
      </w:r>
      <w:r w:rsidR="007C702C">
        <w:t xml:space="preserve">did not receive what it was that she should have obtained. It is necessary </w:t>
      </w:r>
      <w:r w:rsidR="008C7A3C">
        <w:t>to look to see whether in fact there was some immediate measurable damage, and that must be done in each case. In the present case, indeed</w:t>
      </w:r>
      <w:r w:rsidR="00BE2A23">
        <w:t xml:space="preserve"> it was one of the points made by Mr</w:t>
      </w:r>
      <w:r w:rsidR="00904599">
        <w:t>.</w:t>
      </w:r>
      <w:r w:rsidR="00BE2A23">
        <w:t xml:space="preserve"> Goldstone [</w:t>
      </w:r>
      <w:r w:rsidR="005639E0">
        <w:t xml:space="preserve">i.e. </w:t>
      </w:r>
      <w:proofErr w:type="spellStart"/>
      <w:r w:rsidR="005639E0">
        <w:t>Hattens</w:t>
      </w:r>
      <w:proofErr w:type="spellEnd"/>
      <w:r w:rsidR="005639E0">
        <w:t xml:space="preserve">’ counsel], that the Claimant as soon as she received the package from the Defendant solicitors suffered loss because, although the sub-tenant was paying his rent and complying with his covenants up to the date of the fire she might </w:t>
      </w:r>
      <w:r w:rsidR="00AB60E1">
        <w:t>have wanted to assign the lease. Had she sought to assign the lease it would have been worth less without the parental guarantees</w:t>
      </w:r>
      <w:r w:rsidR="00AD3F29">
        <w:t xml:space="preserve"> than it would have been worth with the parental guarantees. That is a more subsidiary matter</w:t>
      </w:r>
      <w:r w:rsidR="0079254D">
        <w:t>; the fact that the Claimant was in breach of a covenant herself under the lease would have served to depress</w:t>
      </w:r>
      <w:r w:rsidR="00DD5980">
        <w:t xml:space="preserve"> any premium she might have obtained on assignment. But on the facts of this case it is abundantly plain that the Claimant did not wish to assign the lease. The fact that she did not do so is some indication, but the nature of the transaction between herself and her husband would be, it seems to me</w:t>
      </w:r>
      <w:r w:rsidR="004447DD">
        <w:t>, sufficient to demonstrate that she did not wish to assign the lease.</w:t>
      </w:r>
    </w:p>
    <w:p w14:paraId="22E889C9" w14:textId="10884E3C" w:rsidR="00A52C59" w:rsidRDefault="004447DD" w:rsidP="00F44548">
      <w:pPr>
        <w:pStyle w:val="Quote"/>
      </w:pPr>
      <w:r>
        <w:t>20.</w:t>
      </w:r>
      <w:r>
        <w:tab/>
        <w:t>What then is the measurable loss that she suffered on receipt of this flawed package from her solicitors? The loss, as contended for, is the lower value of the unsupported</w:t>
      </w:r>
      <w:r w:rsidR="0019628A">
        <w:t xml:space="preserve"> covenant of the sub-tenant,</w:t>
      </w:r>
      <w:r w:rsidR="008E24CD">
        <w:t xml:space="preserve"> unsupported that is by the parental guarantee. The loss is the fact that, under any sub-tenant</w:t>
      </w:r>
      <w:r w:rsidR="00110F4E">
        <w:t xml:space="preserve"> or any tenant under a lease may not pay the rent and if he does not pay the rent the landlord is clearly in a better position if he can recover</w:t>
      </w:r>
      <w:r w:rsidR="000D7CF1">
        <w:t xml:space="preserve"> from the guarantors. I ask myself whether, in the light of the observations </w:t>
      </w:r>
      <w:r w:rsidR="009416B6">
        <w:t xml:space="preserve">of their Lordships in </w:t>
      </w:r>
      <w:proofErr w:type="spellStart"/>
      <w:r w:rsidR="009416B6">
        <w:rPr>
          <w:i/>
          <w:iCs/>
        </w:rPr>
        <w:t>Sephton</w:t>
      </w:r>
      <w:proofErr w:type="spellEnd"/>
      <w:r w:rsidR="008F3E3A">
        <w:rPr>
          <w:i/>
          <w:iCs/>
        </w:rPr>
        <w:t xml:space="preserve"> </w:t>
      </w:r>
      <w:r w:rsidR="008F3E3A">
        <w:t xml:space="preserve">[i.e. </w:t>
      </w:r>
      <w:r w:rsidR="006E00FC">
        <w:rPr>
          <w:i/>
          <w:iCs/>
        </w:rPr>
        <w:t xml:space="preserve">Law Society v </w:t>
      </w:r>
      <w:proofErr w:type="spellStart"/>
      <w:r w:rsidR="006E00FC">
        <w:rPr>
          <w:i/>
          <w:iCs/>
        </w:rPr>
        <w:t>Sephton</w:t>
      </w:r>
      <w:proofErr w:type="spellEnd"/>
      <w:r w:rsidR="006E00FC">
        <w:rPr>
          <w:i/>
          <w:iCs/>
        </w:rPr>
        <w:t xml:space="preserve"> &amp; C</w:t>
      </w:r>
      <w:r w:rsidR="00844BEF">
        <w:rPr>
          <w:i/>
          <w:iCs/>
        </w:rPr>
        <w:t>o</w:t>
      </w:r>
      <w:r w:rsidR="00297A8C">
        <w:rPr>
          <w:i/>
          <w:iCs/>
        </w:rPr>
        <w:t xml:space="preserve"> </w:t>
      </w:r>
      <w:r w:rsidR="00297A8C" w:rsidRPr="00297A8C">
        <w:t>[2006] UKHL 22, [2006] 2 AC 543</w:t>
      </w:r>
      <w:r w:rsidR="00844BEF" w:rsidRPr="00297A8C">
        <w:t>]</w:t>
      </w:r>
      <w:r w:rsidR="009416B6" w:rsidRPr="00297A8C">
        <w:t>,</w:t>
      </w:r>
      <w:r w:rsidR="009416B6">
        <w:t xml:space="preserve"> that can properly be considered as loss sufficient </w:t>
      </w:r>
      <w:r w:rsidR="00B63EFE">
        <w:t>to make good the tort of negligence. It seems to me that it comes within</w:t>
      </w:r>
      <w:r w:rsidR="009C7CF6">
        <w:t xml:space="preserve"> the ‘financial loss is possible but not certain’ category which I am told by Lord Nicholls and Lord </w:t>
      </w:r>
      <w:proofErr w:type="spellStart"/>
      <w:r w:rsidR="009C7CF6">
        <w:t>Mance</w:t>
      </w:r>
      <w:proofErr w:type="spellEnd"/>
      <w:r w:rsidR="009C7CF6">
        <w:t xml:space="preserve">, is not sufficient detriment </w:t>
      </w:r>
      <w:r w:rsidR="008C3E1E">
        <w:t>to make good a claim for tort. I can well see that in holding and reaching that view</w:t>
      </w:r>
      <w:r w:rsidR="0049638C">
        <w:t xml:space="preserve"> it might appear that I am reaching a view which runs cont</w:t>
      </w:r>
      <w:r w:rsidR="00C91B66">
        <w:t>rary</w:t>
      </w:r>
      <w:r w:rsidR="0049638C">
        <w:t xml:space="preserve"> to the series of cases quoted above </w:t>
      </w:r>
      <w:r w:rsidR="000E00EF">
        <w:t xml:space="preserve">and which </w:t>
      </w:r>
      <w:r w:rsidR="008D785E">
        <w:t xml:space="preserve">can be found in the text books when dealing </w:t>
      </w:r>
      <w:r w:rsidR="000E56FA">
        <w:t>with the question of economic loss for the purposes of making good the tort of negligence</w:t>
      </w:r>
      <w:r w:rsidR="00904599">
        <w:t xml:space="preserve">. But I am persuaded by Mr. Crowley [i.e. Mrs Elliott’s counsel] </w:t>
      </w:r>
      <w:r w:rsidR="00F637D3">
        <w:t xml:space="preserve">that, in the light of the </w:t>
      </w:r>
      <w:proofErr w:type="spellStart"/>
      <w:r w:rsidR="00F637D3">
        <w:rPr>
          <w:i/>
          <w:iCs/>
        </w:rPr>
        <w:t>Sephton</w:t>
      </w:r>
      <w:proofErr w:type="spellEnd"/>
      <w:r w:rsidR="00F637D3">
        <w:rPr>
          <w:i/>
          <w:iCs/>
        </w:rPr>
        <w:t xml:space="preserve"> </w:t>
      </w:r>
      <w:r w:rsidR="00F637D3">
        <w:t xml:space="preserve">and </w:t>
      </w:r>
      <w:r w:rsidR="00F637D3">
        <w:rPr>
          <w:i/>
          <w:iCs/>
        </w:rPr>
        <w:t xml:space="preserve">Maharaj </w:t>
      </w:r>
      <w:r w:rsidR="00F637D3">
        <w:t xml:space="preserve">decisions </w:t>
      </w:r>
      <w:r w:rsidR="00EB0BE7">
        <w:t>it is important to look at each case upon its own facts and it seems to me that in this particular case</w:t>
      </w:r>
      <w:r w:rsidR="0096593E">
        <w:t xml:space="preserve"> it cannot be said that the tort was made good by loss on receipt by the Claimant of her package of lease documents from the solicitors. Rather, it seems to me, that the better analysis is that it is only when </w:t>
      </w:r>
      <w:r w:rsidR="009F4955">
        <w:t>the various contingencies occurred which Mr. Crowley contends that the cause of action arose for the Claimant</w:t>
      </w:r>
      <w:r w:rsidR="00730353">
        <w:t>. I can well see, in the light of the authorities as to guarantees</w:t>
      </w:r>
      <w:r w:rsidR="0020539A">
        <w:t>, that a lively argument might ensue as to when the various contingent possibilities eventuated. Fortunately, it is not necessary to go into any consideration of such matters because all of them were after 10</w:t>
      </w:r>
      <w:r w:rsidR="0020539A" w:rsidRPr="0020539A">
        <w:rPr>
          <w:vertAlign w:val="superscript"/>
        </w:rPr>
        <w:t>th</w:t>
      </w:r>
      <w:r w:rsidR="0020539A">
        <w:t xml:space="preserve"> April 2012, the relevant date for present purposes.</w:t>
      </w:r>
      <w:r w:rsidR="00A52C59">
        <w:t>”</w:t>
      </w:r>
    </w:p>
    <w:p w14:paraId="6ED86789" w14:textId="512A5238" w:rsidR="00204EFF" w:rsidRDefault="00204EFF" w:rsidP="00F44548">
      <w:pPr>
        <w:pStyle w:val="ParaLevel1"/>
      </w:pPr>
      <w:r>
        <w:t xml:space="preserve">In the circumstances, the Judge held that </w:t>
      </w:r>
      <w:r w:rsidR="003C6789">
        <w:t xml:space="preserve">Mrs Elliott’s claim was not statute-barred. </w:t>
      </w:r>
      <w:proofErr w:type="spellStart"/>
      <w:r w:rsidR="003C6789">
        <w:t>Hattens</w:t>
      </w:r>
      <w:proofErr w:type="spellEnd"/>
      <w:r w:rsidR="003C6789">
        <w:t>, however, now challenge that conclusion in this Court, the Judge having granted permission to appeal.</w:t>
      </w:r>
    </w:p>
    <w:p w14:paraId="5FA0FC0B" w14:textId="2346B529" w:rsidR="00A022C2" w:rsidRDefault="00A022C2" w:rsidP="00F44548">
      <w:pPr>
        <w:pStyle w:val="ParaHeading"/>
        <w:rPr>
          <w:b/>
          <w:u w:val="single"/>
        </w:rPr>
      </w:pPr>
      <w:r>
        <w:rPr>
          <w:b/>
          <w:u w:val="single"/>
        </w:rPr>
        <w:t>Legal principles</w:t>
      </w:r>
    </w:p>
    <w:p w14:paraId="6AA0A163" w14:textId="40E34739" w:rsidR="00A022C2" w:rsidRDefault="00AC079E" w:rsidP="00F44548">
      <w:pPr>
        <w:pStyle w:val="ParaLevel1"/>
      </w:pPr>
      <w:r>
        <w:t xml:space="preserve">A </w:t>
      </w:r>
      <w:r w:rsidR="00A33CCC">
        <w:t xml:space="preserve">claim in tort will normally become time-barred six years after </w:t>
      </w:r>
      <w:r w:rsidR="001A3932">
        <w:t xml:space="preserve">the cause of action accrued. </w:t>
      </w:r>
      <w:r w:rsidR="00D516CF">
        <w:t>With the tort of negligence, damage is an essential ingredient of the cause of action</w:t>
      </w:r>
      <w:r w:rsidR="00BE5E1B">
        <w:t xml:space="preserve">. The </w:t>
      </w:r>
      <w:r w:rsidR="00D15C12">
        <w:t xml:space="preserve">availability of a limitation defence will thus depend on when </w:t>
      </w:r>
      <w:r w:rsidR="00960B67">
        <w:t xml:space="preserve">the negligence first caused </w:t>
      </w:r>
      <w:r w:rsidR="005A0276">
        <w:t xml:space="preserve">actionable </w:t>
      </w:r>
      <w:r w:rsidR="009C579F">
        <w:t>damage.</w:t>
      </w:r>
      <w:r w:rsidR="00484781">
        <w:t xml:space="preserve"> “[O]</w:t>
      </w:r>
      <w:proofErr w:type="spellStart"/>
      <w:r w:rsidR="00484781">
        <w:t>nce</w:t>
      </w:r>
      <w:proofErr w:type="spellEnd"/>
      <w:r w:rsidR="00484781">
        <w:t xml:space="preserve"> rea</w:t>
      </w:r>
      <w:r w:rsidR="00CC1B02">
        <w:t>l</w:t>
      </w:r>
      <w:r w:rsidR="00484781">
        <w:t xml:space="preserve"> </w:t>
      </w:r>
      <w:r w:rsidR="00CC1B02">
        <w:t xml:space="preserve">damage – as distinct from purely minimal damage – is sustained the cause of action arises, even though greater loss may later eventuate from the negligence” (per </w:t>
      </w:r>
      <w:r w:rsidR="00381A2F">
        <w:t xml:space="preserve">Sir Murray Stuart-Smith in </w:t>
      </w:r>
      <w:r w:rsidR="00381A2F">
        <w:rPr>
          <w:i/>
          <w:iCs/>
        </w:rPr>
        <w:t>Khan v R</w:t>
      </w:r>
      <w:r w:rsidR="00330252">
        <w:rPr>
          <w:i/>
          <w:iCs/>
        </w:rPr>
        <w:t>.</w:t>
      </w:r>
      <w:r w:rsidR="00D1330A">
        <w:rPr>
          <w:i/>
          <w:iCs/>
        </w:rPr>
        <w:t>M</w:t>
      </w:r>
      <w:r w:rsidR="00330252">
        <w:rPr>
          <w:i/>
          <w:iCs/>
        </w:rPr>
        <w:t>.</w:t>
      </w:r>
      <w:r w:rsidR="00D1330A">
        <w:rPr>
          <w:i/>
          <w:iCs/>
        </w:rPr>
        <w:t xml:space="preserve"> Falvey </w:t>
      </w:r>
      <w:r w:rsidR="00D1330A">
        <w:t xml:space="preserve">[2002] EWCA </w:t>
      </w:r>
      <w:proofErr w:type="spellStart"/>
      <w:r w:rsidR="00D1330A">
        <w:t>Civ</w:t>
      </w:r>
      <w:proofErr w:type="spellEnd"/>
      <w:r w:rsidR="00D1330A">
        <w:t xml:space="preserve"> 400, [2002] PNLR 28, at </w:t>
      </w:r>
      <w:r w:rsidR="00B54E2B">
        <w:t xml:space="preserve">paragraph 11), and </w:t>
      </w:r>
      <w:r w:rsidR="001049BF">
        <w:t>“</w:t>
      </w:r>
      <w:r w:rsidR="00B33A3F" w:rsidRPr="00B33A3F">
        <w:t>A claimant cannot defeat the statute of limitations by claiming only in respect of damage which occurs within the limitation period, if he has suffered actual damage from the same wrongful acts outside that period</w:t>
      </w:r>
      <w:r w:rsidR="00B33A3F">
        <w:t xml:space="preserve">” (per Sir Murray Stuart-Smith in </w:t>
      </w:r>
      <w:r w:rsidR="00B33A3F">
        <w:rPr>
          <w:i/>
          <w:iCs/>
        </w:rPr>
        <w:t>Khan v R</w:t>
      </w:r>
      <w:r w:rsidR="00330252">
        <w:rPr>
          <w:i/>
          <w:iCs/>
        </w:rPr>
        <w:t>.</w:t>
      </w:r>
      <w:r w:rsidR="00B33A3F">
        <w:rPr>
          <w:i/>
          <w:iCs/>
        </w:rPr>
        <w:t>M</w:t>
      </w:r>
      <w:r w:rsidR="00330252">
        <w:rPr>
          <w:i/>
          <w:iCs/>
        </w:rPr>
        <w:t>.</w:t>
      </w:r>
      <w:r w:rsidR="00B33A3F">
        <w:rPr>
          <w:i/>
          <w:iCs/>
        </w:rPr>
        <w:t xml:space="preserve"> Falvey</w:t>
      </w:r>
      <w:r w:rsidR="00AF2F3D">
        <w:t>,</w:t>
      </w:r>
      <w:r w:rsidR="00B33A3F">
        <w:rPr>
          <w:i/>
          <w:iCs/>
        </w:rPr>
        <w:t xml:space="preserve"> </w:t>
      </w:r>
      <w:r w:rsidR="00B33A3F">
        <w:t>at paragraph 23).</w:t>
      </w:r>
    </w:p>
    <w:p w14:paraId="61C0CDCC" w14:textId="66BBAEB9" w:rsidR="000D1CC1" w:rsidRDefault="00F076E2" w:rsidP="00F44548">
      <w:pPr>
        <w:pStyle w:val="ParaLevel1"/>
      </w:pPr>
      <w:r>
        <w:t>Negligence claims against solicitors often relate to transac</w:t>
      </w:r>
      <w:r w:rsidR="00523E38">
        <w:t>tions</w:t>
      </w:r>
      <w:r w:rsidR="0006201A">
        <w:t xml:space="preserve">, </w:t>
      </w:r>
      <w:r w:rsidR="0006201A" w:rsidRPr="0006201A">
        <w:t>on which the solicitors were instructed</w:t>
      </w:r>
      <w:r w:rsidR="0006201A">
        <w:t>,</w:t>
      </w:r>
      <w:r w:rsidR="00523E38">
        <w:t xml:space="preserve"> </w:t>
      </w:r>
      <w:r w:rsidR="006B693D">
        <w:t>which have turned out badly. In that context, a claimant may allege either that, but for t</w:t>
      </w:r>
      <w:r w:rsidR="007F34F5">
        <w:t>he solicitors</w:t>
      </w:r>
      <w:r w:rsidR="00E45977">
        <w:t>’</w:t>
      </w:r>
      <w:r w:rsidR="007F34F5">
        <w:t xml:space="preserve"> negligence, he would not have entered into the transaction at all </w:t>
      </w:r>
      <w:r w:rsidR="00461235">
        <w:t>(a “no transac</w:t>
      </w:r>
      <w:r w:rsidR="003542E4">
        <w:t xml:space="preserve">tion” case) </w:t>
      </w:r>
      <w:r w:rsidR="00232939">
        <w:t xml:space="preserve">or that, </w:t>
      </w:r>
      <w:r w:rsidR="00E03DAC">
        <w:t>had it not been for</w:t>
      </w:r>
      <w:r w:rsidR="0060007B">
        <w:t xml:space="preserve"> the negligence, </w:t>
      </w:r>
      <w:r w:rsidR="00475850">
        <w:t>the transaction would have been a better one</w:t>
      </w:r>
      <w:r w:rsidR="003542E4">
        <w:t xml:space="preserve"> (a “flawed transaction” case)</w:t>
      </w:r>
      <w:r w:rsidR="00475850">
        <w:t>. The Privy Council referred to the dis</w:t>
      </w:r>
      <w:r w:rsidR="00AE39D4">
        <w:t xml:space="preserve">tinction between the two situations in </w:t>
      </w:r>
      <w:r w:rsidR="00AE39D4">
        <w:rPr>
          <w:i/>
          <w:iCs/>
        </w:rPr>
        <w:t xml:space="preserve">Maharaj v Johnson </w:t>
      </w:r>
      <w:bookmarkStart w:id="0" w:name="_Hlk71031628"/>
      <w:r w:rsidR="00AE39D4">
        <w:t>[2015] UKPC 28, [2015] PNLR 27</w:t>
      </w:r>
      <w:r w:rsidR="00290205">
        <w:t xml:space="preserve"> </w:t>
      </w:r>
      <w:bookmarkEnd w:id="0"/>
      <w:r w:rsidR="00964C55">
        <w:t>(“</w:t>
      </w:r>
      <w:r w:rsidR="00964C55">
        <w:rPr>
          <w:i/>
          <w:iCs/>
        </w:rPr>
        <w:t>Maharaj</w:t>
      </w:r>
      <w:r w:rsidR="00964C55">
        <w:t>”)</w:t>
      </w:r>
      <w:r w:rsidR="00CB2245">
        <w:t>.</w:t>
      </w:r>
      <w:r w:rsidR="00FF08FF">
        <w:t xml:space="preserve"> </w:t>
      </w:r>
      <w:r w:rsidR="00F558F8">
        <w:t>Lord Wilson</w:t>
      </w:r>
      <w:r w:rsidR="00FF08FF">
        <w:t xml:space="preserve"> (</w:t>
      </w:r>
      <w:r w:rsidR="00F558F8">
        <w:t>with whom</w:t>
      </w:r>
      <w:r w:rsidR="00FF08FF">
        <w:t xml:space="preserve"> </w:t>
      </w:r>
      <w:r w:rsidR="005069BA">
        <w:t xml:space="preserve">Lady Hale, Lord </w:t>
      </w:r>
      <w:proofErr w:type="spellStart"/>
      <w:r w:rsidR="005069BA">
        <w:t>Carnwath</w:t>
      </w:r>
      <w:proofErr w:type="spellEnd"/>
      <w:r w:rsidR="005069BA">
        <w:t xml:space="preserve"> and Lord</w:t>
      </w:r>
      <w:r w:rsidR="00FF08FF">
        <w:t xml:space="preserve"> </w:t>
      </w:r>
      <w:r w:rsidR="00654A7D">
        <w:t>Hodge</w:t>
      </w:r>
      <w:r w:rsidR="005069BA">
        <w:t xml:space="preserve"> agreed</w:t>
      </w:r>
      <w:r w:rsidR="00654A7D">
        <w:t>) said in paragraph 19:</w:t>
      </w:r>
    </w:p>
    <w:p w14:paraId="50F52823" w14:textId="25ABE998" w:rsidR="00654A7D" w:rsidRDefault="00654A7D" w:rsidP="00F44548">
      <w:pPr>
        <w:pStyle w:val="Quote"/>
      </w:pPr>
      <w:r>
        <w:t>“</w:t>
      </w:r>
      <w:r w:rsidR="002361EE">
        <w:t>[T]</w:t>
      </w:r>
      <w:r w:rsidR="008D43AB" w:rsidRPr="008D43AB">
        <w:t xml:space="preserve">he central concept behind the </w:t>
      </w:r>
      <w:r w:rsidR="008D43AB">
        <w:t>‘</w:t>
      </w:r>
      <w:r w:rsidR="008D43AB" w:rsidRPr="008D43AB">
        <w:t>no transaction</w:t>
      </w:r>
      <w:r w:rsidR="008D43AB">
        <w:t>’</w:t>
      </w:r>
      <w:r w:rsidR="008D43AB" w:rsidRPr="008D43AB">
        <w:t xml:space="preserve"> and the </w:t>
      </w:r>
      <w:r w:rsidR="008D43AB">
        <w:t>‘</w:t>
      </w:r>
      <w:r w:rsidR="008D43AB" w:rsidRPr="008D43AB">
        <w:t>flawed transaction</w:t>
      </w:r>
      <w:r w:rsidR="008D43AB">
        <w:t>’</w:t>
      </w:r>
      <w:r w:rsidR="008D43AB" w:rsidRPr="008D43AB">
        <w:t xml:space="preserve"> cases is different. For in the latter the claimant </w:t>
      </w:r>
      <w:r w:rsidR="008D43AB" w:rsidRPr="008D43AB">
        <w:rPr>
          <w:i/>
          <w:iCs/>
        </w:rPr>
        <w:t>does enter</w:t>
      </w:r>
      <w:r w:rsidR="008D43AB" w:rsidRPr="008D43AB">
        <w:t xml:space="preserve"> into a </w:t>
      </w:r>
      <w:r w:rsidR="008D43AB">
        <w:t>‘</w:t>
      </w:r>
      <w:r w:rsidR="008D43AB" w:rsidRPr="008D43AB">
        <w:t>flawed transaction</w:t>
      </w:r>
      <w:r w:rsidR="008D43AB">
        <w:t>’</w:t>
      </w:r>
      <w:r w:rsidR="008D43AB" w:rsidRPr="008D43AB">
        <w:t xml:space="preserve"> in circumstances in which, in the absence of the defendant’s breach of duty, he would have entered into an analogous, but flawless, transaction. In the former, however, the claimant also enters into a transaction but in circumstances in which, in the absence of the defendant’s breach of duty, he </w:t>
      </w:r>
      <w:r w:rsidR="008D43AB" w:rsidRPr="008D43AB">
        <w:rPr>
          <w:i/>
          <w:iCs/>
        </w:rPr>
        <w:t>would have entered</w:t>
      </w:r>
      <w:r w:rsidR="008D43AB" w:rsidRPr="008D43AB">
        <w:t xml:space="preserve"> into </w:t>
      </w:r>
      <w:r w:rsidR="002361EE">
        <w:t>‘</w:t>
      </w:r>
      <w:r w:rsidR="008D43AB" w:rsidRPr="008D43AB">
        <w:t>no transaction</w:t>
      </w:r>
      <w:r w:rsidR="002361EE">
        <w:t>’</w:t>
      </w:r>
      <w:r w:rsidR="008D43AB" w:rsidRPr="008D43AB">
        <w:t xml:space="preserve"> at all. The difference in concept dictates a difference in the inquiry as to whether, and if so when, the claimant suffered actual or measurable damage. In the </w:t>
      </w:r>
      <w:r w:rsidR="002361EE">
        <w:t>‘</w:t>
      </w:r>
      <w:r w:rsidR="008D43AB" w:rsidRPr="008D43AB">
        <w:t>flawed transaction</w:t>
      </w:r>
      <w:r w:rsidR="002361EE">
        <w:t>’</w:t>
      </w:r>
      <w:r w:rsidR="008D43AB" w:rsidRPr="008D43AB">
        <w:t xml:space="preserve"> case the inquiry is whether the value to the claimant of the flawed transaction was measurably less than what would have been the value to him of the flawless transaction. In the </w:t>
      </w:r>
      <w:r w:rsidR="002361EE">
        <w:t>‘</w:t>
      </w:r>
      <w:r w:rsidR="008D43AB" w:rsidRPr="008D43AB">
        <w:t>no transaction</w:t>
      </w:r>
      <w:r w:rsidR="002361EE">
        <w:t>’</w:t>
      </w:r>
      <w:r w:rsidR="008D43AB" w:rsidRPr="008D43AB">
        <w:t xml:space="preserve"> case the inquiry is whether, and if so at what point, the transaction into which the claimant entered caused his financial position to be measurably worse than if he had not entered into it: see </w:t>
      </w:r>
      <w:r w:rsidR="00B1679F">
        <w:t>[</w:t>
      </w:r>
      <w:proofErr w:type="spellStart"/>
      <w:r w:rsidR="00B1679F" w:rsidRPr="00B1679F">
        <w:rPr>
          <w:i/>
          <w:iCs/>
        </w:rPr>
        <w:t>Nykredit</w:t>
      </w:r>
      <w:proofErr w:type="spellEnd"/>
      <w:r w:rsidR="00B1679F" w:rsidRPr="00B1679F">
        <w:rPr>
          <w:i/>
          <w:iCs/>
        </w:rPr>
        <w:t xml:space="preserve"> Mortgage Bank Plc v Edward Erdman Group Ltd (No 2) </w:t>
      </w:r>
      <w:r w:rsidR="00B1679F" w:rsidRPr="00B1679F">
        <w:t>[1997] 1 WLR 1627]</w:t>
      </w:r>
      <w:r w:rsidR="008D43AB" w:rsidRPr="00B1679F">
        <w:t>,</w:t>
      </w:r>
      <w:r w:rsidR="008D43AB" w:rsidRPr="008D43AB">
        <w:t xml:space="preserve"> at p.1631 (Lord Nicholls). The </w:t>
      </w:r>
      <w:proofErr w:type="spellStart"/>
      <w:r w:rsidR="008D43AB" w:rsidRPr="002361EE">
        <w:rPr>
          <w:i/>
          <w:iCs/>
        </w:rPr>
        <w:t>Nykredit</w:t>
      </w:r>
      <w:proofErr w:type="spellEnd"/>
      <w:r w:rsidR="008D43AB" w:rsidRPr="008D43AB">
        <w:t xml:space="preserve"> case was a classic example of a </w:t>
      </w:r>
      <w:r w:rsidR="002361EE">
        <w:t>‘</w:t>
      </w:r>
      <w:r w:rsidR="008D43AB" w:rsidRPr="008D43AB">
        <w:t>no transaction</w:t>
      </w:r>
      <w:r w:rsidR="002361EE">
        <w:t>’</w:t>
      </w:r>
      <w:r w:rsidR="008D43AB" w:rsidRPr="008D43AB">
        <w:t xml:space="preserve"> case in that the claimants, who had lent money on the security of a property which the defendant valuers had negligently overvalued for them, would have declined to make the loan if the valuation had not been deficient.</w:t>
      </w:r>
      <w:r>
        <w:t>”</w:t>
      </w:r>
    </w:p>
    <w:p w14:paraId="444D37F8" w14:textId="6B72BD4C" w:rsidR="00BA3C3F" w:rsidRDefault="00E7244B" w:rsidP="00F44548">
      <w:pPr>
        <w:pStyle w:val="ParaLevel1"/>
      </w:pPr>
      <w:r>
        <w:rPr>
          <w:i/>
          <w:iCs/>
        </w:rPr>
        <w:t xml:space="preserve">Maharaj </w:t>
      </w:r>
      <w:r>
        <w:t>was itself a “flawed transaction” case.</w:t>
      </w:r>
      <w:r w:rsidR="00B67C89">
        <w:t xml:space="preserve"> The claimants had contracted to </w:t>
      </w:r>
      <w:r w:rsidR="000279DA">
        <w:t xml:space="preserve">buy some land and </w:t>
      </w:r>
      <w:r w:rsidR="00D402DB">
        <w:t>a</w:t>
      </w:r>
      <w:r w:rsidR="00B763E8">
        <w:t xml:space="preserve"> conveyance in the</w:t>
      </w:r>
      <w:r w:rsidR="00D11464">
        <w:t>ir</w:t>
      </w:r>
      <w:r w:rsidR="00B763E8">
        <w:t xml:space="preserve"> favour had subsequently been executed on the vendor’s behalf by someone with a power of attorney</w:t>
      </w:r>
      <w:r w:rsidR="00BC453E">
        <w:t xml:space="preserve"> on </w:t>
      </w:r>
      <w:r w:rsidR="00AE11D0">
        <w:t>6 February 1986</w:t>
      </w:r>
      <w:r w:rsidR="00B763E8">
        <w:t>.</w:t>
      </w:r>
      <w:r w:rsidR="00740E62">
        <w:t xml:space="preserve"> </w:t>
      </w:r>
      <w:r w:rsidR="00EC4D92">
        <w:t>More than two decades</w:t>
      </w:r>
      <w:r w:rsidR="00740E62">
        <w:t xml:space="preserve"> later,</w:t>
      </w:r>
      <w:r w:rsidR="000C1175">
        <w:t xml:space="preserve"> the claimants’ title was queried on the basis that </w:t>
      </w:r>
      <w:r w:rsidR="00BC25CD">
        <w:t xml:space="preserve">the </w:t>
      </w:r>
      <w:r w:rsidR="00A236CA">
        <w:t xml:space="preserve">conveyance </w:t>
      </w:r>
      <w:r w:rsidR="002A40B6">
        <w:t>had not been</w:t>
      </w:r>
      <w:r w:rsidR="00A236CA">
        <w:t xml:space="preserve"> within the scope of the power of attorney.</w:t>
      </w:r>
      <w:r w:rsidR="00200673">
        <w:t xml:space="preserve"> A deed of rectification was </w:t>
      </w:r>
      <w:r w:rsidR="00421109">
        <w:t xml:space="preserve">obtained from the vendor, </w:t>
      </w:r>
      <w:r w:rsidR="00C81C5E">
        <w:t xml:space="preserve">but the claimants nonetheless </w:t>
      </w:r>
      <w:r w:rsidR="006E22F6">
        <w:t>brought proceedings against solicitors who had acted for them in the original purchase.</w:t>
      </w:r>
      <w:r w:rsidR="009C55B0">
        <w:t xml:space="preserve"> The claim was struck out as stat</w:t>
      </w:r>
      <w:r w:rsidR="0013734A">
        <w:t>ute-barred.</w:t>
      </w:r>
    </w:p>
    <w:p w14:paraId="18C6478A" w14:textId="720F83AB" w:rsidR="00FF019B" w:rsidRDefault="00C058F4" w:rsidP="00F44548">
      <w:pPr>
        <w:pStyle w:val="ParaLevel1"/>
      </w:pPr>
      <w:r>
        <w:t xml:space="preserve">In paragraph 22, </w:t>
      </w:r>
      <w:r w:rsidR="00FF019B">
        <w:t>Lord Wilso</w:t>
      </w:r>
      <w:r w:rsidR="0054174D">
        <w:t>n identified the relevant issue as “was the value of a full equitable interest in the land on 6 February 1986 measurably less than the value then of a full legal and equitable interest in it</w:t>
      </w:r>
      <w:r w:rsidR="00BC453E">
        <w:t>?”</w:t>
      </w:r>
      <w:r w:rsidR="00CA1E8A">
        <w:t xml:space="preserve"> </w:t>
      </w:r>
      <w:r w:rsidR="00AD70A0">
        <w:t>He answered the question in the affirmative, explaining as follows in paragraphs 27 and 28:</w:t>
      </w:r>
    </w:p>
    <w:p w14:paraId="5C131856" w14:textId="77777777" w:rsidR="00704386" w:rsidRPr="00704386" w:rsidRDefault="00AD70A0" w:rsidP="00F44548">
      <w:pPr>
        <w:pStyle w:val="Quote"/>
      </w:pPr>
      <w:r>
        <w:t>“</w:t>
      </w:r>
      <w:r w:rsidR="00704386" w:rsidRPr="00704386">
        <w:t>27.  In respectful agreement with the brief judgment of the Court of Appeal in the present case, the Board concludes that the claimants suffered actual damage upon their execution of the Deed on 6 February 1986. An inference to this effect is properly to be drawn from the following.</w:t>
      </w:r>
    </w:p>
    <w:p w14:paraId="63997288" w14:textId="434D47E3" w:rsidR="00704386" w:rsidRPr="00704386" w:rsidRDefault="00704386" w:rsidP="00F44548">
      <w:pPr>
        <w:pStyle w:val="Quote"/>
        <w:ind w:left="2268" w:hanging="850"/>
      </w:pPr>
      <w:r w:rsidRPr="00704386">
        <w:t xml:space="preserve">(a)  </w:t>
      </w:r>
      <w:r w:rsidR="00B023B6">
        <w:tab/>
      </w:r>
      <w:r w:rsidRPr="00704386">
        <w:t>The claimants’ failure to obtain a legal interest in the land on that date subjected them to significant risks which were present from then onwards.</w:t>
      </w:r>
    </w:p>
    <w:p w14:paraId="10CBBCB3" w14:textId="1CDBE180" w:rsidR="00704386" w:rsidRPr="00704386" w:rsidRDefault="00704386" w:rsidP="00F44548">
      <w:pPr>
        <w:pStyle w:val="Quote"/>
        <w:ind w:left="2268" w:hanging="850"/>
      </w:pPr>
      <w:r w:rsidRPr="00704386">
        <w:t xml:space="preserve">(b)  </w:t>
      </w:r>
      <w:r w:rsidR="00B023B6">
        <w:tab/>
      </w:r>
      <w:r w:rsidRPr="00704386">
        <w:t>Just as in 2008 the claimants discovered that their lack of a legal interest obstructed their attempts both to borrow on the security of the land and to sell it, they would be likely to have met similar obstruction in the event that at any earlier time after 6 February 1986 they had attempted either to borrow on the security of it or to sell it. Their equitable interest was therefore significantly less valuable to them than a legal interest would have been.</w:t>
      </w:r>
    </w:p>
    <w:p w14:paraId="7312EB14" w14:textId="72CC584C" w:rsidR="00704386" w:rsidRPr="00704386" w:rsidRDefault="00704386" w:rsidP="00F44548">
      <w:pPr>
        <w:pStyle w:val="Quote"/>
        <w:ind w:left="2268" w:hanging="850"/>
      </w:pPr>
      <w:r w:rsidRPr="00704386">
        <w:t xml:space="preserve">(c)  </w:t>
      </w:r>
      <w:r w:rsidR="00B023B6">
        <w:tab/>
      </w:r>
      <w:r w:rsidRPr="00704386">
        <w:t>It was not even in the power of the claimants or of the defendants to remedy the flaw by themselves. For it was necessary to procure the participation of Mrs Lambert</w:t>
      </w:r>
      <w:r w:rsidR="00A727A2">
        <w:t xml:space="preserve"> [i.e. the vendor]</w:t>
      </w:r>
      <w:r w:rsidRPr="00704386">
        <w:t>. In 2008 it so happened that she was quickly located and that she cooperated in a swift execution of the Deed of Rectification. Even in those circumstances costs, for which in the first instance the claimants were liable, must have been incurred in procuring its execution and in registering it. But from 6 February 1986 onwards there were risks that Mrs Lambert would not be able to be located or would be found to have died: were either risk to have eventuated, there would have been significant extra complications—and extra costs. There was also a risk that, if located, Mrs Lambert would not willingly execute the Deed: were that risk to have eventuated, it would have been necessary to take costly legal steps in order to oblige her to do so.</w:t>
      </w:r>
    </w:p>
    <w:p w14:paraId="3D3DDE65" w14:textId="0174F9B4" w:rsidR="00AD70A0" w:rsidRDefault="00704386" w:rsidP="00F44548">
      <w:pPr>
        <w:pStyle w:val="Quote"/>
      </w:pPr>
      <w:r w:rsidRPr="00704386">
        <w:t>28.  The risks to which the Board has referred were such as to generate an immediate and (no doubt with difficulty) a quantifiable reduction from the value of the asset which the claimants should have received on 6 February 1986 to the value of the asset which they did receive. The risks were not such as to render their loss purely contingent.</w:t>
      </w:r>
      <w:r w:rsidR="00AD70A0">
        <w:t>”</w:t>
      </w:r>
    </w:p>
    <w:p w14:paraId="7F9C0D09" w14:textId="73011226" w:rsidR="00F43975" w:rsidRDefault="00982C68" w:rsidP="00F44548">
      <w:pPr>
        <w:pStyle w:val="ParaLevel1"/>
      </w:pPr>
      <w:r>
        <w:t xml:space="preserve">In </w:t>
      </w:r>
      <w:r>
        <w:rPr>
          <w:i/>
          <w:iCs/>
        </w:rPr>
        <w:t xml:space="preserve">Law Society </w:t>
      </w:r>
      <w:r w:rsidR="00122810">
        <w:rPr>
          <w:i/>
          <w:iCs/>
        </w:rPr>
        <w:t xml:space="preserve">v </w:t>
      </w:r>
      <w:proofErr w:type="spellStart"/>
      <w:r w:rsidR="00122810">
        <w:rPr>
          <w:i/>
          <w:iCs/>
        </w:rPr>
        <w:t>Sephton</w:t>
      </w:r>
      <w:proofErr w:type="spellEnd"/>
      <w:r w:rsidR="00122810">
        <w:rPr>
          <w:i/>
          <w:iCs/>
        </w:rPr>
        <w:t xml:space="preserve"> &amp; Co </w:t>
      </w:r>
      <w:r w:rsidR="00122810">
        <w:t xml:space="preserve">[2006] </w:t>
      </w:r>
      <w:r w:rsidR="007B36AD">
        <w:t xml:space="preserve">UKHL 22, [2006] </w:t>
      </w:r>
      <w:r w:rsidR="00122810">
        <w:t>2 AC 543</w:t>
      </w:r>
      <w:r w:rsidR="00054E5B">
        <w:t xml:space="preserve"> (“</w:t>
      </w:r>
      <w:proofErr w:type="spellStart"/>
      <w:r w:rsidR="00054E5B">
        <w:rPr>
          <w:i/>
          <w:iCs/>
        </w:rPr>
        <w:t>Sephton</w:t>
      </w:r>
      <w:proofErr w:type="spellEnd"/>
      <w:r w:rsidR="00054E5B">
        <w:t>”)</w:t>
      </w:r>
      <w:r w:rsidR="00122810">
        <w:t xml:space="preserve">, </w:t>
      </w:r>
      <w:r w:rsidR="00D43896">
        <w:t xml:space="preserve">Lord Hoffmann commented at paragraph 21 that, </w:t>
      </w:r>
      <w:r w:rsidR="00723BA0">
        <w:t>in cases where</w:t>
      </w:r>
      <w:r w:rsidR="00500D5A">
        <w:t xml:space="preserve"> plaintiffs</w:t>
      </w:r>
      <w:r w:rsidR="00723BA0">
        <w:t xml:space="preserve"> had entered into </w:t>
      </w:r>
      <w:r w:rsidR="00AB0C58">
        <w:t xml:space="preserve">bilateral </w:t>
      </w:r>
      <w:r w:rsidR="00723BA0">
        <w:t xml:space="preserve">transactions </w:t>
      </w:r>
      <w:r w:rsidR="005F4D89">
        <w:t xml:space="preserve">as a result of defendants’ negligence and “liability is </w:t>
      </w:r>
      <w:r w:rsidR="00500D5A">
        <w:t>for the difference between what the plaintiff g</w:t>
      </w:r>
      <w:r w:rsidR="00D11565">
        <w:t>ot and what he would have got if the defendant</w:t>
      </w:r>
      <w:r w:rsidR="00BF0FFF">
        <w:t xml:space="preserve"> had done what he was supposed to have done, </w:t>
      </w:r>
      <w:r w:rsidR="00F03E54" w:rsidRPr="00F03E54">
        <w:t>it may be relatively easy, as Bingham LJ pointed out in </w:t>
      </w:r>
      <w:r w:rsidR="00F03E54" w:rsidRPr="00F03E54">
        <w:rPr>
          <w:i/>
          <w:iCs/>
        </w:rPr>
        <w:t xml:space="preserve">D W Moore &amp; Co Ltd v Ferrier </w:t>
      </w:r>
      <w:r w:rsidR="00F03E54" w:rsidRPr="00F03E54">
        <w:t>[1988] 1 WLR 267, to infer that the plaintiff has suffered some immediate damage, simply because he did not get what he should have got</w:t>
      </w:r>
      <w:r w:rsidR="00F03E54">
        <w:t>”</w:t>
      </w:r>
      <w:r w:rsidR="00F03E54" w:rsidRPr="00F03E54">
        <w:t>. </w:t>
      </w:r>
      <w:r w:rsidR="00F04D55">
        <w:t>“Thus,” Lord Hoffmann continued, “</w:t>
      </w:r>
      <w:r w:rsidR="0032328E" w:rsidRPr="0032328E">
        <w:t>in </w:t>
      </w:r>
      <w:r w:rsidR="0032328E" w:rsidRPr="0032328E">
        <w:rPr>
          <w:i/>
          <w:iCs/>
        </w:rPr>
        <w:t xml:space="preserve">Knapp v Ecclesiastical Insurance Group plc </w:t>
      </w:r>
      <w:r w:rsidR="0032328E" w:rsidRPr="0032328E">
        <w:t xml:space="preserve">[1998] PNLR 172, where the plaintiff paid a premium for a voidable fire insurance policy because his insurance broker had failed to disclose material facts, the Court of Appeal held that he had suffered immediate damage because he </w:t>
      </w:r>
      <w:r w:rsidR="0032328E">
        <w:t>‘</w:t>
      </w:r>
      <w:r w:rsidR="0032328E" w:rsidRPr="0032328E">
        <w:t>did not get what he should have got</w:t>
      </w:r>
      <w:r w:rsidR="0032328E">
        <w:t>’</w:t>
      </w:r>
      <w:r w:rsidR="0032328E" w:rsidRPr="0032328E">
        <w:t>, namely a policy binding on the insurers</w:t>
      </w:r>
      <w:r w:rsidR="0032328E">
        <w:t xml:space="preserve">”. </w:t>
      </w:r>
      <w:r w:rsidR="009D3AC3">
        <w:t>In the next paragraph, Lord Hoffmann said:</w:t>
      </w:r>
    </w:p>
    <w:p w14:paraId="4AB0260A" w14:textId="12512148" w:rsidR="009D3AC3" w:rsidRDefault="009D3AC3" w:rsidP="00F44548">
      <w:pPr>
        <w:pStyle w:val="Quote"/>
      </w:pPr>
      <w:r>
        <w:t>“</w:t>
      </w:r>
      <w:r w:rsidR="003A206E" w:rsidRPr="003A206E">
        <w:t>Thus cases like </w:t>
      </w:r>
      <w:r w:rsidR="003A206E" w:rsidRPr="003A206E">
        <w:rPr>
          <w:i/>
          <w:iCs/>
        </w:rPr>
        <w:t xml:space="preserve">Bell v Peter Browne &amp; Co </w:t>
      </w:r>
      <w:r w:rsidR="003A206E" w:rsidRPr="003A206E">
        <w:t>[1990] 2 QB 495 and </w:t>
      </w:r>
      <w:r w:rsidR="003A206E" w:rsidRPr="003A206E">
        <w:rPr>
          <w:i/>
          <w:iCs/>
        </w:rPr>
        <w:t>Knapp v Ecclesiastical Insurance Group plc</w:t>
      </w:r>
      <w:r w:rsidR="003A206E" w:rsidRPr="003A206E">
        <w:t xml:space="preserve"> [1998] PNLR 172 are readily explicable as cases in which the damage was the difference between the plaintiff</w:t>
      </w:r>
      <w:r w:rsidR="003A206E">
        <w:t>’</w:t>
      </w:r>
      <w:r w:rsidR="003A206E" w:rsidRPr="003A206E">
        <w:t>s position as it was and as it would have been if the defendant had performed his duty and in which it was possible to infer that the plaintiff</w:t>
      </w:r>
      <w:r w:rsidR="003A206E">
        <w:t>’</w:t>
      </w:r>
      <w:r w:rsidR="003A206E" w:rsidRPr="003A206E">
        <w:t>s failure to get what he should have got from a bilateral transaction was quantifiable damage, even though further damage which might result from the flaw in the transaction was still contingent. The plaintiff had paid money, transferred property, incurred liabilities or suffered diminution in the value of an asset and in return obtained less than he should have got. But these authorities have no relevance to a case in which a purely contingent obligation has been incurred.</w:t>
      </w:r>
      <w:r>
        <w:t>”</w:t>
      </w:r>
    </w:p>
    <w:p w14:paraId="42B309F1" w14:textId="585C250C" w:rsidR="001F05AE" w:rsidRDefault="00D6376F" w:rsidP="00F44548">
      <w:pPr>
        <w:pStyle w:val="ParaLevel1"/>
      </w:pPr>
      <w:r>
        <w:t xml:space="preserve">On the other hand, </w:t>
      </w:r>
      <w:r w:rsidR="00EC45BC">
        <w:t xml:space="preserve">Lord Wilson noted in </w:t>
      </w:r>
      <w:r w:rsidR="00EC45BC">
        <w:rPr>
          <w:i/>
          <w:iCs/>
        </w:rPr>
        <w:t xml:space="preserve">Maharaj </w:t>
      </w:r>
      <w:r w:rsidR="00E24BA6">
        <w:t xml:space="preserve">at paragraph 26, </w:t>
      </w:r>
      <w:r>
        <w:t xml:space="preserve">“The fact that the transaction was flawed does not </w:t>
      </w:r>
      <w:r w:rsidR="00F27210">
        <w:t xml:space="preserve">by itself mean that the claimant suffered actual damage </w:t>
      </w:r>
      <w:r w:rsidR="00EC45BC">
        <w:t>on entry into it”.</w:t>
      </w:r>
      <w:r w:rsidR="00E24BA6">
        <w:t xml:space="preserve"> There is, Lord Wilson said, “no substitute </w:t>
      </w:r>
      <w:r w:rsidR="001F05AE">
        <w:t>for attending to the particular facts</w:t>
      </w:r>
      <w:r w:rsidR="007074CB">
        <w:t xml:space="preserve"> and deciding whether </w:t>
      </w:r>
      <w:r w:rsidR="002B07FE">
        <w:t xml:space="preserve">… an inference [that </w:t>
      </w:r>
      <w:r w:rsidR="00D83151">
        <w:t xml:space="preserve">there was </w:t>
      </w:r>
      <w:r w:rsidR="002B07FE">
        <w:t>immediate damage</w:t>
      </w:r>
      <w:r w:rsidR="00641E2C">
        <w:t>] is properly to be drawn from them”.</w:t>
      </w:r>
    </w:p>
    <w:p w14:paraId="62C08DC4" w14:textId="14614A6F" w:rsidR="00F55F2E" w:rsidRDefault="00317326" w:rsidP="00F44548">
      <w:pPr>
        <w:pStyle w:val="ParaLevel1"/>
      </w:pPr>
      <w:r>
        <w:rPr>
          <w:i/>
          <w:iCs/>
        </w:rPr>
        <w:t xml:space="preserve">Maharaj </w:t>
      </w:r>
      <w:r>
        <w:t xml:space="preserve">was a case in which the problem which had emerged was capable of remedy. </w:t>
      </w:r>
      <w:r w:rsidR="007B3090">
        <w:t xml:space="preserve">Issues as to the significance of </w:t>
      </w:r>
      <w:proofErr w:type="spellStart"/>
      <w:r w:rsidR="007B3090">
        <w:t>remediability</w:t>
      </w:r>
      <w:proofErr w:type="spellEnd"/>
      <w:r w:rsidR="007B3090">
        <w:t xml:space="preserve"> also </w:t>
      </w:r>
      <w:r w:rsidR="008250F0">
        <w:t>featured</w:t>
      </w:r>
      <w:r w:rsidR="007B3090">
        <w:t xml:space="preserve"> in </w:t>
      </w:r>
      <w:r w:rsidR="003F3E85">
        <w:rPr>
          <w:i/>
          <w:iCs/>
        </w:rPr>
        <w:t xml:space="preserve">Bell v Peter Browne &amp; Co </w:t>
      </w:r>
      <w:r w:rsidR="003F3E85">
        <w:t>[</w:t>
      </w:r>
      <w:r w:rsidR="00596028">
        <w:t xml:space="preserve">1990] 2 QB 495 </w:t>
      </w:r>
      <w:r w:rsidR="005E2853">
        <w:t>(“</w:t>
      </w:r>
      <w:r w:rsidR="005E2853" w:rsidRPr="005E2853">
        <w:rPr>
          <w:i/>
          <w:iCs/>
        </w:rPr>
        <w:t>Bell</w:t>
      </w:r>
      <w:r w:rsidR="005E2853">
        <w:t xml:space="preserve">”) </w:t>
      </w:r>
      <w:r w:rsidR="00596028" w:rsidRPr="005E2853">
        <w:t>and</w:t>
      </w:r>
      <w:r w:rsidR="00596028">
        <w:t xml:space="preserve"> </w:t>
      </w:r>
      <w:r w:rsidR="00596028">
        <w:rPr>
          <w:i/>
          <w:iCs/>
        </w:rPr>
        <w:t xml:space="preserve">Knapp v Ecclesiastical Insurance Group plc </w:t>
      </w:r>
      <w:r w:rsidR="00C82501">
        <w:t xml:space="preserve">[1998] </w:t>
      </w:r>
      <w:r w:rsidR="00C53AB9">
        <w:t>PNLR 172</w:t>
      </w:r>
      <w:r w:rsidR="005E2853">
        <w:t xml:space="preserve"> (“</w:t>
      </w:r>
      <w:r w:rsidR="005E2853">
        <w:rPr>
          <w:i/>
          <w:iCs/>
        </w:rPr>
        <w:t>Knapp</w:t>
      </w:r>
      <w:r w:rsidR="005E2853">
        <w:t>”)</w:t>
      </w:r>
      <w:r w:rsidR="0099555C">
        <w:t>.</w:t>
      </w:r>
      <w:r w:rsidR="006F4FC2">
        <w:t xml:space="preserve"> In </w:t>
      </w:r>
      <w:r w:rsidR="005E2853">
        <w:rPr>
          <w:i/>
          <w:iCs/>
        </w:rPr>
        <w:t>Bell</w:t>
      </w:r>
      <w:r w:rsidR="005E2853">
        <w:t>, the plaintiff</w:t>
      </w:r>
      <w:r w:rsidR="001549DE">
        <w:t xml:space="preserve"> agreed with his wife following the breakdown of their marriage that he would transfer the matrimonial </w:t>
      </w:r>
      <w:r w:rsidR="00996EE1">
        <w:t xml:space="preserve">home </w:t>
      </w:r>
      <w:r w:rsidR="001549DE">
        <w:t xml:space="preserve">to her on the footing </w:t>
      </w:r>
      <w:r w:rsidR="00DD528C">
        <w:t>that he would receive a sixth of the proceeds of sale when it was sold.</w:t>
      </w:r>
      <w:r w:rsidR="00964AE0">
        <w:t xml:space="preserve"> The transfer was effected, but the plaintiff’s solicitors, who were the defendants, failed to </w:t>
      </w:r>
      <w:r w:rsidR="0023086C">
        <w:t xml:space="preserve">ensure that his interest was protected either by a </w:t>
      </w:r>
      <w:r w:rsidR="0049729D">
        <w:t xml:space="preserve">declaration of trust or </w:t>
      </w:r>
      <w:r w:rsidR="00B0171F">
        <w:t>mortgage</w:t>
      </w:r>
      <w:r w:rsidR="0049729D">
        <w:t xml:space="preserve"> or by </w:t>
      </w:r>
      <w:r w:rsidR="00391465">
        <w:t>the lodging of a caution at the Land Registry.</w:t>
      </w:r>
      <w:r w:rsidR="00A84D04">
        <w:t xml:space="preserve"> The wife having sold </w:t>
      </w:r>
      <w:r w:rsidR="00697E1E">
        <w:t>the house and spent the proceeds, the plaintiff sued the defendants</w:t>
      </w:r>
      <w:r w:rsidR="00452EAE">
        <w:t>, but the claim was held to be statute-barred.</w:t>
      </w:r>
      <w:r w:rsidR="00FF0227">
        <w:t xml:space="preserve"> Nicholls LJ</w:t>
      </w:r>
      <w:r w:rsidR="00230CA3">
        <w:t xml:space="preserve"> distinguished </w:t>
      </w:r>
      <w:r w:rsidR="008A0247">
        <w:t>at 502 between “</w:t>
      </w:r>
      <w:r w:rsidR="008A0247" w:rsidRPr="008A0247">
        <w:t>(a) the solicitors</w:t>
      </w:r>
      <w:r w:rsidR="00B0171F">
        <w:t>’</w:t>
      </w:r>
      <w:r w:rsidR="008A0247" w:rsidRPr="008A0247">
        <w:t xml:space="preserve"> failure to see that the parties</w:t>
      </w:r>
      <w:r w:rsidR="00B0171F">
        <w:t>’</w:t>
      </w:r>
      <w:r w:rsidR="008A0247" w:rsidRPr="008A0247">
        <w:t xml:space="preserve"> agreement was recorded formally in a suitable declaration of trust or other instrument and (b) their failure to protect the plaintiff's interest in the house or the proceeds of sale by lodging a caution</w:t>
      </w:r>
      <w:r w:rsidR="008A0247">
        <w:t>”.</w:t>
      </w:r>
      <w:r w:rsidR="00697E1E">
        <w:t xml:space="preserve"> </w:t>
      </w:r>
      <w:r w:rsidR="00B75AC7">
        <w:t xml:space="preserve">As to failure (a), Nicholls LJ said </w:t>
      </w:r>
      <w:r w:rsidR="00B81370">
        <w:t>that “</w:t>
      </w:r>
      <w:r w:rsidR="00961E68" w:rsidRPr="00961E68">
        <w:t>the damage, such as it may have been, was sustained when the transfer was executed and handed over</w:t>
      </w:r>
      <w:r w:rsidR="00961E68">
        <w:t>” when</w:t>
      </w:r>
      <w:r w:rsidR="00961E68" w:rsidRPr="00961E68">
        <w:t xml:space="preserve"> </w:t>
      </w:r>
      <w:r w:rsidR="00961E68">
        <w:t>“</w:t>
      </w:r>
      <w:r w:rsidR="00961E68" w:rsidRPr="00961E68">
        <w:t>the plaintiff parted with title to the house, and he became subject to the practical inconveniences which might flow from his not having his wife</w:t>
      </w:r>
      <w:r w:rsidR="00961E68">
        <w:t>’</w:t>
      </w:r>
      <w:r w:rsidR="00961E68" w:rsidRPr="00961E68">
        <w:t>s signature on a formal document</w:t>
      </w:r>
      <w:r w:rsidR="00961E68">
        <w:t>”</w:t>
      </w:r>
      <w:r w:rsidR="00B54541">
        <w:t xml:space="preserve">. While the extent of the prejudice depended on the attitude adopted </w:t>
      </w:r>
      <w:r w:rsidR="008C4A61">
        <w:t>by his wife, “</w:t>
      </w:r>
      <w:r w:rsidR="008C4A61" w:rsidRPr="008C4A61">
        <w:t>the uncertainty surrounding her future intentions goes only to the quantum of the loss the plaintiff sustained when the transfer was executed without him having the same degree of protection as would be provided by a formal document</w:t>
      </w:r>
      <w:r w:rsidR="008C4A61">
        <w:t>”</w:t>
      </w:r>
      <w:r w:rsidR="00597075">
        <w:t xml:space="preserve">, Nicholls LJ said at 502. Turning to </w:t>
      </w:r>
      <w:r w:rsidR="00132518">
        <w:t>failure (b), Nicholls LJ observed at 503 that this “</w:t>
      </w:r>
      <w:r w:rsidR="006709DD" w:rsidRPr="006709DD">
        <w:t>stands on a different footing from failure (a) in that it was within the plaintiff's own power to remedy failure (b) so long as the house continued to belong to his former wife</w:t>
      </w:r>
      <w:r w:rsidR="006709DD">
        <w:t xml:space="preserve">”. </w:t>
      </w:r>
      <w:r w:rsidR="00494827">
        <w:t xml:space="preserve">Nicholls LJ was, however, </w:t>
      </w:r>
      <w:r w:rsidR="00A2699C">
        <w:t>“</w:t>
      </w:r>
      <w:r w:rsidR="00A2699C" w:rsidRPr="00A2699C">
        <w:t xml:space="preserve">unable to accept that </w:t>
      </w:r>
      <w:proofErr w:type="spellStart"/>
      <w:r w:rsidR="00A2699C" w:rsidRPr="00A2699C">
        <w:t>remediability</w:t>
      </w:r>
      <w:proofErr w:type="spellEnd"/>
      <w:r w:rsidR="00A2699C" w:rsidRPr="00A2699C">
        <w:t xml:space="preserve"> puts failure (b) on the other side of the line from failure (a)</w:t>
      </w:r>
      <w:r w:rsidR="00A2699C">
        <w:t>”. He explained at 503:</w:t>
      </w:r>
    </w:p>
    <w:p w14:paraId="40E19AC1" w14:textId="43F79697" w:rsidR="00DD4A89" w:rsidRPr="00DD4A89" w:rsidRDefault="00A2699C" w:rsidP="00F44548">
      <w:pPr>
        <w:pStyle w:val="Quote"/>
      </w:pPr>
      <w:r>
        <w:t>“</w:t>
      </w:r>
      <w:r w:rsidR="00DD4A89" w:rsidRPr="00DD4A89">
        <w:t>The solicitors</w:t>
      </w:r>
      <w:r w:rsidR="00DD4A89">
        <w:t>’</w:t>
      </w:r>
      <w:r w:rsidR="00DD4A89" w:rsidRPr="00DD4A89">
        <w:t xml:space="preserve"> breach of duty in 1978 was remediable by the plaintiff, but that was only possible after he became aware that there had been a breach of duty. Apart from any other consideration, to treat the plaintiff</w:t>
      </w:r>
      <w:r w:rsidR="00DD4A89">
        <w:t>’</w:t>
      </w:r>
      <w:r w:rsidR="00DD4A89" w:rsidRPr="00DD4A89">
        <w:t>s ability to remedy the breach himself without the concurrence of his former wife as a ground of distinction between this case and cases such as </w:t>
      </w:r>
      <w:r w:rsidR="00DD4A89" w:rsidRPr="00DD4A89">
        <w:rPr>
          <w:i/>
          <w:iCs/>
        </w:rPr>
        <w:t xml:space="preserve">Baker v. </w:t>
      </w:r>
      <w:proofErr w:type="spellStart"/>
      <w:r w:rsidR="00DD4A89" w:rsidRPr="00DD4A89">
        <w:rPr>
          <w:i/>
          <w:iCs/>
        </w:rPr>
        <w:t>Ollard</w:t>
      </w:r>
      <w:proofErr w:type="spellEnd"/>
      <w:r w:rsidR="00DD4A89" w:rsidRPr="00DD4A89">
        <w:rPr>
          <w:i/>
          <w:iCs/>
        </w:rPr>
        <w:t xml:space="preserve"> &amp; Bentley,</w:t>
      </w:r>
      <w:r w:rsidR="00DD4A89" w:rsidRPr="00DD4A89">
        <w:t> Court of Appeal (Civil Division) Transcript No. 155 of 1982 would be to disregard the unlikelihood in practice of the plaintiff ever being in a position to remedy the breach. Once the solicitors closed their file, it was unlikely that failure (b) would come to the notice of the plaintiff or the defendants, until the house was sold and it was too late. That, on the pleaded facts, is exactly what happened. The first the plaintiff knew that his one-sixth share was not properly protected was after it had gone beyond recall. So his ability to remedy the breach before the house was sold was a matter of more theoretical interest than practical importance.</w:t>
      </w:r>
    </w:p>
    <w:p w14:paraId="3579B0D0" w14:textId="7FC8C901" w:rsidR="00A2699C" w:rsidRDefault="00DD4A89" w:rsidP="00F44548">
      <w:pPr>
        <w:pStyle w:val="Quote"/>
      </w:pPr>
      <w:r w:rsidRPr="00DD4A89">
        <w:t>In considering whether damage was suffered in 1978 one can test the matter by considering what would have happened if in, say, 1980 the plaintiff had learned of his solicitors' default and brought an action for damages. Of course, he would have taken steps to remedy the default. But he would have been entitled at least to recover from the defendants the cost incurred in going to other solicitors for advice on what should be done and for their assistance in lodging the appropriate caution. The cost would have been modest, but not negligible.</w:t>
      </w:r>
      <w:r w:rsidR="00A2699C">
        <w:t>”</w:t>
      </w:r>
    </w:p>
    <w:p w14:paraId="54D43408" w14:textId="05F1DE5F" w:rsidR="00EF2B81" w:rsidRDefault="005B55B5" w:rsidP="00F44548">
      <w:pPr>
        <w:pStyle w:val="ParaLevel1"/>
      </w:pPr>
      <w:r>
        <w:rPr>
          <w:i/>
          <w:iCs/>
        </w:rPr>
        <w:t xml:space="preserve">Bell </w:t>
      </w:r>
      <w:r>
        <w:t xml:space="preserve">was the subject of extensive </w:t>
      </w:r>
      <w:r w:rsidR="0024148F">
        <w:t xml:space="preserve">discussion in </w:t>
      </w:r>
      <w:r w:rsidR="0024148F">
        <w:rPr>
          <w:i/>
          <w:iCs/>
        </w:rPr>
        <w:t>Knapp</w:t>
      </w:r>
      <w:r w:rsidR="0024148F">
        <w:t>.</w:t>
      </w:r>
      <w:r w:rsidR="00BD2EB7">
        <w:t xml:space="preserve"> In the latter case, the plaintiffs had </w:t>
      </w:r>
      <w:r w:rsidR="00AA7FAC">
        <w:t xml:space="preserve">arranged insurance cover through the </w:t>
      </w:r>
      <w:r w:rsidR="00640B2C">
        <w:t xml:space="preserve">second </w:t>
      </w:r>
      <w:r w:rsidR="00AA7FAC">
        <w:t xml:space="preserve">defendant insurance broker, but </w:t>
      </w:r>
      <w:r w:rsidR="000D703F">
        <w:t xml:space="preserve">when they invoked </w:t>
      </w:r>
      <w:r w:rsidR="008B2969">
        <w:t>it</w:t>
      </w:r>
      <w:r w:rsidR="000D703F">
        <w:t xml:space="preserve"> following a fire </w:t>
      </w:r>
      <w:r w:rsidR="00FD7DC9">
        <w:t>the insurers</w:t>
      </w:r>
      <w:r w:rsidR="00F71FA0">
        <w:t xml:space="preserve"> elected to avoid the policy for non-disclo</w:t>
      </w:r>
      <w:r w:rsidR="00D079EA">
        <w:t>sure.</w:t>
      </w:r>
      <w:r w:rsidR="00483DA0">
        <w:t xml:space="preserve"> A claim against the insurance broker was held to</w:t>
      </w:r>
      <w:r w:rsidR="00331C4D">
        <w:t xml:space="preserve"> be statute-barred on the basis that </w:t>
      </w:r>
      <w:r w:rsidR="00640B2C">
        <w:t>his</w:t>
      </w:r>
      <w:r w:rsidR="00BA045B">
        <w:t xml:space="preserve"> alleged negligence had first become actionable when </w:t>
      </w:r>
      <w:r w:rsidR="00A91A72">
        <w:t xml:space="preserve">the </w:t>
      </w:r>
      <w:r w:rsidR="006E0D10">
        <w:t xml:space="preserve">cover </w:t>
      </w:r>
      <w:r w:rsidR="00A64EFE">
        <w:t>was effected</w:t>
      </w:r>
      <w:r w:rsidR="00BA6471">
        <w:t xml:space="preserve">, and that although Hobhouse LJ </w:t>
      </w:r>
      <w:r w:rsidR="009413F8">
        <w:t>said at 179 that</w:t>
      </w:r>
      <w:r w:rsidR="00972830">
        <w:t xml:space="preserve"> he was prepared to assume that, had </w:t>
      </w:r>
      <w:r w:rsidR="00FA65E9">
        <w:t>the non-disclosure been realised, the</w:t>
      </w:r>
      <w:r w:rsidR="00F36E86">
        <w:t xml:space="preserve"> second</w:t>
      </w:r>
      <w:r w:rsidR="00FA65E9">
        <w:t xml:space="preserve"> defendant </w:t>
      </w:r>
      <w:r w:rsidR="009F0558">
        <w:t>“</w:t>
      </w:r>
      <w:r w:rsidR="009F0558" w:rsidRPr="009F0558">
        <w:t>would, on the instructions of the plaintiffs, have been able, within a very short period of time—a matter of hours not days, to have arranged for the plaintiffs to be held covered either by the insurance company or some other insurer, maybe at an increased premiu</w:t>
      </w:r>
      <w:r w:rsidR="009F0558">
        <w:t>m”.</w:t>
      </w:r>
      <w:r w:rsidR="000D3076">
        <w:t xml:space="preserve"> Noting that </w:t>
      </w:r>
      <w:r w:rsidR="00B66CF4">
        <w:t>the ability to remedy the failure to lodge the caution</w:t>
      </w:r>
      <w:r w:rsidR="00FB1596">
        <w:t xml:space="preserve"> had not been treated as making any difference in </w:t>
      </w:r>
      <w:r w:rsidR="00FB1596">
        <w:rPr>
          <w:i/>
          <w:iCs/>
        </w:rPr>
        <w:t>Bell</w:t>
      </w:r>
      <w:r w:rsidR="00FB1596">
        <w:t>,</w:t>
      </w:r>
      <w:r w:rsidR="005301E2">
        <w:t xml:space="preserve"> Hobhouse LJ discerned three elements in Nicholls LJ’s reasoning in relation to “failure (b)”</w:t>
      </w:r>
      <w:r w:rsidR="0070515F">
        <w:t xml:space="preserve"> a</w:t>
      </w:r>
      <w:r w:rsidR="009153AC">
        <w:t>s to which Hobhouse LJ said this</w:t>
      </w:r>
      <w:r w:rsidR="0070515F">
        <w:t xml:space="preserve"> at </w:t>
      </w:r>
      <w:r w:rsidR="009153AC">
        <w:t>185-186:</w:t>
      </w:r>
    </w:p>
    <w:p w14:paraId="2266FCD0" w14:textId="7C5A3650" w:rsidR="00433928" w:rsidRPr="00433928" w:rsidRDefault="009153AC" w:rsidP="00F44548">
      <w:pPr>
        <w:pStyle w:val="Quote"/>
      </w:pPr>
      <w:r>
        <w:t>“</w:t>
      </w:r>
      <w:r w:rsidR="00433928" w:rsidRPr="00433928">
        <w:t xml:space="preserve">First </w:t>
      </w:r>
      <w:r w:rsidR="00433928">
        <w:t>[Nicholls LJ]</w:t>
      </w:r>
      <w:r w:rsidR="00433928" w:rsidRPr="00433928">
        <w:t xml:space="preserve"> points out that the failure creates a risk and indeed it is this risk which forms the subject matter of the action. Secondly he points out that it is unreal to fail to take into account the fact that the plaintiff is unaware of the failure to lodge the caution. It only becomes possible for the plaintiff to remedy the breach </w:t>
      </w:r>
      <w:r w:rsidR="00433928">
        <w:t>‘</w:t>
      </w:r>
      <w:r w:rsidR="00433928" w:rsidRPr="00433928">
        <w:t>after he became aware that there had been a breach of duty</w:t>
      </w:r>
      <w:r w:rsidR="00433928">
        <w:t>’</w:t>
      </w:r>
      <w:r w:rsidR="00433928" w:rsidRPr="00433928">
        <w:t>. It is not right to make the assumption that the plaintiff knows of the breach. His ignorance of it is indeed one aspect of the failure of the defendant to perform his professional duty.</w:t>
      </w:r>
    </w:p>
    <w:p w14:paraId="0D6D3FE2" w14:textId="6212F09E" w:rsidR="00433928" w:rsidRPr="00433928" w:rsidRDefault="00433928" w:rsidP="00F44548">
      <w:pPr>
        <w:pStyle w:val="Quote"/>
      </w:pPr>
      <w:r w:rsidRPr="00433928">
        <w:t>In the present case the second defendant was under a duty, </w:t>
      </w:r>
      <w:r w:rsidRPr="00433928">
        <w:rPr>
          <w:i/>
          <w:iCs/>
        </w:rPr>
        <w:t>inter alia</w:t>
      </w:r>
      <w:r w:rsidRPr="00433928">
        <w:t>, to advise the plaintiffs. The second defendant failed to advise the plaintiffs that the renewal was not binding upon the insurance company and implicitly he advised that he had effected a binding renewal of the cover. It is a consequence of the second defendant</w:t>
      </w:r>
      <w:r w:rsidR="00AA1B3E">
        <w:t>’</w:t>
      </w:r>
      <w:r w:rsidRPr="00433928">
        <w:t>s breach of duty that the plaintiffs were unaware of the true position and that they were therefore deprived of the opportunity to remedy the nondisclosure</w:t>
      </w:r>
      <w:r w:rsidR="00640B2C">
        <w:t xml:space="preserve"> </w:t>
      </w:r>
      <w:r w:rsidR="005C4311">
        <w:t>….</w:t>
      </w:r>
    </w:p>
    <w:p w14:paraId="6B7FBE25" w14:textId="434B1BC6" w:rsidR="009153AC" w:rsidRDefault="00433928" w:rsidP="00F44548">
      <w:pPr>
        <w:pStyle w:val="Quote"/>
      </w:pPr>
      <w:r w:rsidRPr="00433928">
        <w:t>The third strand of the reasoning of Nicholls L.J. is that he considered that, on the facts of</w:t>
      </w:r>
      <w:r w:rsidR="00640B2C">
        <w:t xml:space="preserve"> </w:t>
      </w:r>
      <w:r w:rsidRPr="00433928">
        <w:rPr>
          <w:i/>
          <w:iCs/>
        </w:rPr>
        <w:t>Bell v. Peter Browne</w:t>
      </w:r>
      <w:r w:rsidRPr="00433928">
        <w:t xml:space="preserve">, remedying the failure to lodge the caution would, although easily accomplished, have still involved the plaintiff in some modest </w:t>
      </w:r>
      <w:r w:rsidR="00640B2C">
        <w:t>‘</w:t>
      </w:r>
      <w:r w:rsidRPr="00433928">
        <w:t>but not negligible</w:t>
      </w:r>
      <w:r w:rsidR="00640B2C">
        <w:t>’</w:t>
      </w:r>
      <w:r w:rsidRPr="00433928">
        <w:t xml:space="preserve"> cost. For the reasons which I have given earlier in this judgment I consider that it would not be right in the absence of evidence to make any assumption one way or the other about whether the remedying of the non-disclosure would have been likely in the present case to involve the plaintiffs in any additional expense. Therefore, in my judgment, in so far as Nicholls L.J. has founded himself upon this third consideration, it does not avail the second defendant in the present case.</w:t>
      </w:r>
      <w:r w:rsidR="009153AC">
        <w:t>”</w:t>
      </w:r>
    </w:p>
    <w:p w14:paraId="33755884" w14:textId="6B26AA2D" w:rsidR="00D9099B" w:rsidRDefault="00E16406" w:rsidP="00F44548">
      <w:pPr>
        <w:pStyle w:val="ParaLevel1"/>
      </w:pPr>
      <w:r>
        <w:t xml:space="preserve">Hobhouse LJ </w:t>
      </w:r>
      <w:r w:rsidR="006F389C">
        <w:t xml:space="preserve">concluded at </w:t>
      </w:r>
      <w:r w:rsidR="00F31C7C">
        <w:t>186:</w:t>
      </w:r>
    </w:p>
    <w:p w14:paraId="455B5E3C" w14:textId="2B0D6C6E" w:rsidR="00F31C7C" w:rsidRDefault="00F31C7C" w:rsidP="00F44548">
      <w:pPr>
        <w:pStyle w:val="Quote"/>
      </w:pPr>
      <w:r>
        <w:t>“</w:t>
      </w:r>
      <w:r w:rsidRPr="00F31C7C">
        <w:t>The plaintiffs suffered loss as soon as they received an insurance contract which was not binding upon the insurers. The subsequent events, the question whether or not the insurers would thereafter avoid the policy and with what consequences, went only to the quantification of loss not to the identification of the first moment at which a plaintiff suffered loss and the tort became actionable.</w:t>
      </w:r>
      <w:r>
        <w:t>”</w:t>
      </w:r>
    </w:p>
    <w:p w14:paraId="3D05758D" w14:textId="005C9734" w:rsidR="00F31C7C" w:rsidRPr="007461E5" w:rsidRDefault="004146C3" w:rsidP="00F44548">
      <w:pPr>
        <w:pStyle w:val="ParaNoNumber"/>
        <w:ind w:left="720"/>
      </w:pPr>
      <w:r>
        <w:t xml:space="preserve">Had it been necessary, Hobhouse LJ said at </w:t>
      </w:r>
      <w:r w:rsidR="001D7327">
        <w:t xml:space="preserve">187, the Court </w:t>
      </w:r>
      <w:r w:rsidR="0097454E">
        <w:t xml:space="preserve">could and should have put a monetary value on the loss </w:t>
      </w:r>
      <w:r w:rsidR="007357D0">
        <w:t xml:space="preserve">at the time of the receipt of the </w:t>
      </w:r>
      <w:r w:rsidR="00182C27">
        <w:t xml:space="preserve">purported cover. It </w:t>
      </w:r>
      <w:r w:rsidR="00156561">
        <w:t>“</w:t>
      </w:r>
      <w:r w:rsidR="00156561" w:rsidRPr="00156561">
        <w:t>would exclude the possibility at that time of remedying the deficiency because the plaintiffs were in fact unaware of it and their state of knowledge arose from the breach of duty of the second defendant</w:t>
      </w:r>
      <w:r w:rsidR="00156561">
        <w:t>”</w:t>
      </w:r>
      <w:r w:rsidR="00C311FC">
        <w:t>.</w:t>
      </w:r>
      <w:r w:rsidR="00891502">
        <w:t xml:space="preserve"> </w:t>
      </w:r>
      <w:r w:rsidR="007461E5">
        <w:t xml:space="preserve">As, however, Lord Wilson pointed out in </w:t>
      </w:r>
      <w:r w:rsidR="007461E5">
        <w:rPr>
          <w:i/>
          <w:iCs/>
        </w:rPr>
        <w:t>Maharaj</w:t>
      </w:r>
      <w:r w:rsidR="006F631F">
        <w:t xml:space="preserve"> at paragraph 24, Hobhouse LJ said </w:t>
      </w:r>
      <w:r w:rsidR="006A1080">
        <w:t xml:space="preserve">at 185 </w:t>
      </w:r>
      <w:r w:rsidR="006F631F">
        <w:t xml:space="preserve">that it was </w:t>
      </w:r>
      <w:r w:rsidR="005D44F8">
        <w:t>“</w:t>
      </w:r>
      <w:r w:rsidR="00EF0DD4" w:rsidRPr="00EF0DD4">
        <w:t>possible to visualise a situation where the relevant fault can be so easily remedied that no more than nominal damages will be recoverable in an action in contract, and</w:t>
      </w:r>
      <w:r w:rsidR="00EF0DD4">
        <w:t xml:space="preserve"> …</w:t>
      </w:r>
      <w:r w:rsidR="00EF0DD4" w:rsidRPr="00EF0DD4">
        <w:t xml:space="preserve"> any cause of action in tort fail</w:t>
      </w:r>
      <w:r w:rsidR="00EF0DD4">
        <w:t>”.</w:t>
      </w:r>
    </w:p>
    <w:p w14:paraId="113237AE" w14:textId="77777777" w:rsidR="00CC1FDE" w:rsidRDefault="00993A91" w:rsidP="00F44548">
      <w:pPr>
        <w:pStyle w:val="ParaLevel1"/>
      </w:pPr>
      <w:r>
        <w:t>I</w:t>
      </w:r>
      <w:r w:rsidR="00E76D1B">
        <w:t>n</w:t>
      </w:r>
      <w:r>
        <w:t xml:space="preserve"> </w:t>
      </w:r>
      <w:r w:rsidR="008B0093">
        <w:rPr>
          <w:i/>
          <w:iCs/>
        </w:rPr>
        <w:t xml:space="preserve">Shore v Sedgwick Financial Services Ltd </w:t>
      </w:r>
      <w:r w:rsidR="00ED2471">
        <w:t xml:space="preserve">[2008] EWCA </w:t>
      </w:r>
      <w:proofErr w:type="spellStart"/>
      <w:r w:rsidR="00ED2471">
        <w:t>Civ</w:t>
      </w:r>
      <w:proofErr w:type="spellEnd"/>
      <w:r w:rsidR="00ED2471">
        <w:t xml:space="preserve"> 863, [2009] Bus LR 42</w:t>
      </w:r>
      <w:r w:rsidR="00E76D1B">
        <w:t xml:space="preserve"> (“</w:t>
      </w:r>
      <w:r w:rsidR="00E76D1B">
        <w:rPr>
          <w:i/>
          <w:iCs/>
        </w:rPr>
        <w:t>Shore</w:t>
      </w:r>
      <w:r w:rsidR="00E76D1B">
        <w:t>”)</w:t>
      </w:r>
      <w:r w:rsidR="00ED2471">
        <w:t xml:space="preserve">, </w:t>
      </w:r>
      <w:r w:rsidR="00E76D1B">
        <w:t>Dyson L</w:t>
      </w:r>
      <w:r w:rsidR="00167F47">
        <w:t>J, with whom Buxton and Keene LJJ agreed, said</w:t>
      </w:r>
      <w:r w:rsidR="00CB448B">
        <w:t xml:space="preserve"> at paragraph 42</w:t>
      </w:r>
      <w:r w:rsidR="00167F47">
        <w:t xml:space="preserve"> that the “essence of the reasoning” in cases such as </w:t>
      </w:r>
      <w:r w:rsidR="00167F47">
        <w:rPr>
          <w:i/>
          <w:iCs/>
        </w:rPr>
        <w:t xml:space="preserve">Bell </w:t>
      </w:r>
      <w:r w:rsidR="00CB448B">
        <w:t>was</w:t>
      </w:r>
      <w:r w:rsidR="00DF32FA">
        <w:t xml:space="preserve"> that “</w:t>
      </w:r>
      <w:r w:rsidR="00DF32FA" w:rsidRPr="00DF32FA">
        <w:t>the fact that the risk to which the claimant was exposed by the defendant</w:t>
      </w:r>
      <w:r w:rsidR="00DF32FA">
        <w:t>’</w:t>
      </w:r>
      <w:r w:rsidR="00DF32FA" w:rsidRPr="00DF32FA">
        <w:t>s negligence might not eventuate did not mean that the claimant did not suffer loss as a result of being exposed to that risk</w:t>
      </w:r>
      <w:r w:rsidR="00DF32FA">
        <w:t>”</w:t>
      </w:r>
      <w:r w:rsidR="003D2A97">
        <w:t>. “</w:t>
      </w:r>
      <w:r w:rsidR="00CC1FDE" w:rsidRPr="00CC1FDE">
        <w:t>It is the possibility of actual financial harm that constitutes the loss</w:t>
      </w:r>
      <w:r w:rsidR="00CC1FDE">
        <w:t>”, Dyson LJ said in paragraph 42.</w:t>
      </w:r>
    </w:p>
    <w:p w14:paraId="2A2A528F" w14:textId="3334987F" w:rsidR="00C311FC" w:rsidRDefault="00BC28DF" w:rsidP="00F44548">
      <w:pPr>
        <w:pStyle w:val="ParaLevel1"/>
      </w:pPr>
      <w:r>
        <w:t xml:space="preserve">It is also relevant to refer to an aspect of </w:t>
      </w:r>
      <w:r>
        <w:rPr>
          <w:i/>
          <w:iCs/>
        </w:rPr>
        <w:t xml:space="preserve">Shore </w:t>
      </w:r>
      <w:r>
        <w:t>on which</w:t>
      </w:r>
      <w:r w:rsidR="00E94A15">
        <w:t xml:space="preserve"> </w:t>
      </w:r>
      <w:r w:rsidR="00ED2471">
        <w:t>Mr Dan</w:t>
      </w:r>
      <w:r w:rsidR="001D35D6">
        <w:t>iel</w:t>
      </w:r>
      <w:r w:rsidR="00ED2471">
        <w:t xml:space="preserve"> Crowley, who appeared for </w:t>
      </w:r>
      <w:r w:rsidR="004E66E5">
        <w:t>Mrs Elliott, placed reliance.</w:t>
      </w:r>
      <w:r w:rsidR="00C93BC7">
        <w:t xml:space="preserve"> In </w:t>
      </w:r>
      <w:r w:rsidR="00E94A15">
        <w:rPr>
          <w:i/>
          <w:iCs/>
        </w:rPr>
        <w:t>Shore</w:t>
      </w:r>
      <w:r w:rsidR="00C93BC7">
        <w:t xml:space="preserve">, </w:t>
      </w:r>
      <w:r w:rsidR="00953C9A">
        <w:t xml:space="preserve">the claimant had been advised by the defendant financial advisers to transfer his pension from </w:t>
      </w:r>
      <w:r w:rsidR="00D43A45">
        <w:t xml:space="preserve">a final salary scheme </w:t>
      </w:r>
      <w:r w:rsidR="0062364C">
        <w:t xml:space="preserve">(“the </w:t>
      </w:r>
      <w:proofErr w:type="spellStart"/>
      <w:r w:rsidR="000C776D">
        <w:t>Avesta</w:t>
      </w:r>
      <w:proofErr w:type="spellEnd"/>
      <w:r w:rsidR="000C776D">
        <w:t xml:space="preserve"> scheme”) </w:t>
      </w:r>
      <w:r w:rsidR="00D43A45">
        <w:t>to a</w:t>
      </w:r>
      <w:r w:rsidR="0049715F">
        <w:t xml:space="preserve">n </w:t>
      </w:r>
      <w:r w:rsidR="00D43A45">
        <w:t>income withdrawal scheme</w:t>
      </w:r>
      <w:r w:rsidR="000C776D">
        <w:t xml:space="preserve"> (“the PFW scheme”)</w:t>
      </w:r>
      <w:r w:rsidR="00FB50E0">
        <w:t xml:space="preserve">. The pension having fallen in value, the claimant </w:t>
      </w:r>
      <w:r w:rsidR="0041519C">
        <w:t xml:space="preserve">alleged that the defendants ought to have advised him to remain in the </w:t>
      </w:r>
      <w:proofErr w:type="spellStart"/>
      <w:r w:rsidR="000C776D">
        <w:t>Avesta</w:t>
      </w:r>
      <w:proofErr w:type="spellEnd"/>
      <w:r w:rsidR="0041519C">
        <w:t xml:space="preserve"> scheme.</w:t>
      </w:r>
      <w:r w:rsidR="00864C97">
        <w:t xml:space="preserve"> The claim was held, however, to be statute-barred on the basis that the claimant had first suffered loss when</w:t>
      </w:r>
      <w:r w:rsidR="0049715F">
        <w:t xml:space="preserve"> he invested in the </w:t>
      </w:r>
      <w:r w:rsidR="0015404F">
        <w:t>PFW scheme</w:t>
      </w:r>
      <w:r w:rsidR="00DA34CD">
        <w:t xml:space="preserve">; the fact that the </w:t>
      </w:r>
      <w:r w:rsidR="00D04BAB">
        <w:t xml:space="preserve">price paid for the investment </w:t>
      </w:r>
      <w:r w:rsidR="0015404F">
        <w:t xml:space="preserve">might </w:t>
      </w:r>
      <w:r w:rsidR="00D04BAB">
        <w:t>not</w:t>
      </w:r>
      <w:r w:rsidR="0015404F">
        <w:t xml:space="preserve"> have</w:t>
      </w:r>
      <w:r w:rsidR="00D04BAB">
        <w:t xml:space="preserve"> exceed</w:t>
      </w:r>
      <w:r w:rsidR="0015404F">
        <w:t>ed</w:t>
      </w:r>
      <w:r w:rsidR="00D04BAB">
        <w:t xml:space="preserve"> </w:t>
      </w:r>
      <w:r w:rsidR="00D65855">
        <w:t>its then current market price did not matter.</w:t>
      </w:r>
      <w:r w:rsidR="009B1A4C">
        <w:t xml:space="preserve"> Dyson LJ, with whom Buxton and Keene LJJ agreed, said </w:t>
      </w:r>
      <w:r w:rsidR="00E445EA">
        <w:t>on the subject:</w:t>
      </w:r>
    </w:p>
    <w:p w14:paraId="2F51ED2F" w14:textId="134F820E" w:rsidR="0062364C" w:rsidRPr="0062364C" w:rsidRDefault="00E445EA" w:rsidP="00F44548">
      <w:pPr>
        <w:pStyle w:val="Quote"/>
      </w:pPr>
      <w:r>
        <w:t>“</w:t>
      </w:r>
      <w:r w:rsidR="0062364C" w:rsidRPr="0062364C">
        <w:t xml:space="preserve">37.  </w:t>
      </w:r>
      <w:r w:rsidR="0015404F">
        <w:t>…</w:t>
      </w:r>
      <w:r w:rsidR="0062364C" w:rsidRPr="0062364C">
        <w:t xml:space="preserve"> It is Mr Shore</w:t>
      </w:r>
      <w:r w:rsidR="00E31627">
        <w:t>’</w:t>
      </w:r>
      <w:r w:rsidR="0062364C" w:rsidRPr="0062364C">
        <w:t>s</w:t>
      </w:r>
      <w:r w:rsidR="00E31627">
        <w:t xml:space="preserve"> [i.e. the claimant’s]</w:t>
      </w:r>
      <w:r w:rsidR="0062364C" w:rsidRPr="0062364C">
        <w:t xml:space="preserve"> case (assumed for present purposes to be established) that the PFW scheme was inferior to the </w:t>
      </w:r>
      <w:proofErr w:type="spellStart"/>
      <w:r w:rsidR="0062364C" w:rsidRPr="0062364C">
        <w:t>Avesta</w:t>
      </w:r>
      <w:proofErr w:type="spellEnd"/>
      <w:r w:rsidR="0062364C" w:rsidRPr="0062364C">
        <w:t xml:space="preserve"> scheme because it was riskier. It was inferior because Mr Shore wanted a secure scheme: he did not want to take risks. In other words, </w:t>
      </w:r>
      <w:r w:rsidR="0062364C" w:rsidRPr="0062364C">
        <w:rPr>
          <w:i/>
          <w:iCs/>
        </w:rPr>
        <w:t>from Mr Shore</w:t>
      </w:r>
      <w:r w:rsidR="00E31627">
        <w:rPr>
          <w:i/>
          <w:iCs/>
        </w:rPr>
        <w:t>’</w:t>
      </w:r>
      <w:r w:rsidR="0062364C" w:rsidRPr="0062364C">
        <w:rPr>
          <w:i/>
          <w:iCs/>
        </w:rPr>
        <w:t>s point of view</w:t>
      </w:r>
      <w:r w:rsidR="0062364C" w:rsidRPr="0062364C">
        <w:t xml:space="preserve">, it was less advantageous and caused him detriment. If he had wanted a more insecure income than that provided by the </w:t>
      </w:r>
      <w:proofErr w:type="spellStart"/>
      <w:r w:rsidR="0062364C" w:rsidRPr="0062364C">
        <w:t>Avesta</w:t>
      </w:r>
      <w:proofErr w:type="spellEnd"/>
      <w:r w:rsidR="0062364C" w:rsidRPr="0062364C">
        <w:t xml:space="preserve"> scheme, then he would have got what he wanted and would have suffered no detriment. In the event, however, he made a risky investment with an uncertain income stream instead of a safe investment with a fixed and certain income stream which is what he wanted.</w:t>
      </w:r>
    </w:p>
    <w:p w14:paraId="7504E901" w14:textId="468DC242" w:rsidR="0062364C" w:rsidRPr="0062364C" w:rsidRDefault="0062364C" w:rsidP="00F44548">
      <w:pPr>
        <w:pStyle w:val="Quote"/>
      </w:pPr>
      <w:r w:rsidRPr="0062364C">
        <w:t xml:space="preserve">38.  The analogy with the investor who is negligently advised to buy shares rather than Government bonds does not assist </w:t>
      </w:r>
      <w:r w:rsidR="0035064A">
        <w:t xml:space="preserve">[the </w:t>
      </w:r>
      <w:r w:rsidR="004D6375">
        <w:t>claimant’s counsel]</w:t>
      </w:r>
      <w:r w:rsidRPr="0062364C">
        <w:t>. In my judgment, an investor who wishes to place £100 in a secure risk-free investment and, in reliance on negligent advice, purchases shares does suffer financial detriment on the acquisition of the shares despite the fact that he pays the market price for the shares. It is no answer to this investor</w:t>
      </w:r>
      <w:r w:rsidR="004D6375">
        <w:t>’</w:t>
      </w:r>
      <w:r w:rsidRPr="0062364C">
        <w:t>s complaint that he has been induced to buy a risky investment when he wanted a safe one to say that the risky investment was worth what he paid for it in the market. His complaint is that he did not want a risky investment. A claim for damages immediately upon the acquisition of the shares would succeed. The investor would at least be entitled to the difference between the cost of buying the Government bonds and the cost of buying and selling the shares.</w:t>
      </w:r>
    </w:p>
    <w:p w14:paraId="586BCFC3" w14:textId="504C803B" w:rsidR="0062364C" w:rsidRPr="0062364C" w:rsidRDefault="0062364C" w:rsidP="00F44548">
      <w:pPr>
        <w:pStyle w:val="Quote"/>
      </w:pPr>
      <w:r w:rsidRPr="0062364C">
        <w:t>39.  In any event, the analogy with the share purchase transaction breaks down on the facts of the present case. Mr Egerton produced an expert</w:t>
      </w:r>
      <w:r w:rsidR="004D6375">
        <w:t>’</w:t>
      </w:r>
      <w:r w:rsidRPr="0062364C">
        <w:t xml:space="preserve">s report dated 29 March 2007 on behalf of Mr Shore. At para 4.1.25, he said that the benefits of deferring taking the </w:t>
      </w:r>
      <w:proofErr w:type="spellStart"/>
      <w:r w:rsidRPr="0062364C">
        <w:t>Avesta</w:t>
      </w:r>
      <w:proofErr w:type="spellEnd"/>
      <w:r w:rsidRPr="0062364C">
        <w:t xml:space="preserve"> benefits until the age of 60 were so large </w:t>
      </w:r>
      <w:r w:rsidR="004D6375">
        <w:t>‘</w:t>
      </w:r>
      <w:r w:rsidRPr="0062364C">
        <w:t>that they exceeded any reasonable estimate of benefits that could have been provided by a pension fund withdrawal arrangement</w:t>
      </w:r>
      <w:r w:rsidR="004D6375">
        <w:t>’</w:t>
      </w:r>
      <w:r w:rsidRPr="0062364C">
        <w:t>:</w:t>
      </w:r>
    </w:p>
    <w:p w14:paraId="3B0E442E" w14:textId="2481CED6" w:rsidR="0062364C" w:rsidRPr="0062364C" w:rsidRDefault="004D6375" w:rsidP="00F44548">
      <w:pPr>
        <w:pStyle w:val="Quote"/>
        <w:ind w:left="1701"/>
      </w:pPr>
      <w:r>
        <w:t>‘</w:t>
      </w:r>
      <w:r w:rsidR="0062364C" w:rsidRPr="0062364C">
        <w:t xml:space="preserve">The reason for this is that the financial benefits of deferring taking the </w:t>
      </w:r>
      <w:proofErr w:type="spellStart"/>
      <w:r w:rsidR="0062364C" w:rsidRPr="0062364C">
        <w:t>Avesta</w:t>
      </w:r>
      <w:proofErr w:type="spellEnd"/>
      <w:r w:rsidR="0062364C" w:rsidRPr="0062364C">
        <w:t xml:space="preserve"> benefits were so large </w:t>
      </w:r>
      <w:r w:rsidR="00BA6B9B">
        <w:t>…</w:t>
      </w:r>
      <w:r w:rsidR="0062364C" w:rsidRPr="0062364C">
        <w:t xml:space="preserve"> that they exceeded any reasonable estimate of benefits that could have been provided by a pension fund withdrawal arrangement. Although there were substantial early retirement penalties with the </w:t>
      </w:r>
      <w:proofErr w:type="spellStart"/>
      <w:r w:rsidR="0062364C" w:rsidRPr="0062364C">
        <w:t>Avesta</w:t>
      </w:r>
      <w:proofErr w:type="spellEnd"/>
      <w:r w:rsidR="0062364C" w:rsidRPr="0062364C">
        <w:t xml:space="preserve"> scheme, the rate at which these penalties reduced was such that the effective investment return until age 60 could not realistically be matched by any other appropriate investment. Even if the claimant</w:t>
      </w:r>
      <w:r w:rsidR="002F2DE4">
        <w:t>’</w:t>
      </w:r>
      <w:r w:rsidR="0062364C" w:rsidRPr="0062364C">
        <w:t xml:space="preserve">s other income ceased or diminished prior to age 60 or November 1999 (so that he would have been compelled to start drawing pension benefits), any deferral would have resulted in an improvement in the </w:t>
      </w:r>
      <w:proofErr w:type="spellStart"/>
      <w:r w:rsidR="0062364C" w:rsidRPr="0062364C">
        <w:t>Avesta</w:t>
      </w:r>
      <w:proofErr w:type="spellEnd"/>
      <w:r w:rsidR="0062364C" w:rsidRPr="0062364C">
        <w:t xml:space="preserve"> pension payable such that no other appropriate investment could have realistically have expected to have matched it. Had the defendant undertaken a transfer value analysis as required by IMRO rules, this would have been clearly shown.</w:t>
      </w:r>
      <w:r w:rsidR="002F2DE4">
        <w:t>’</w:t>
      </w:r>
    </w:p>
    <w:p w14:paraId="2D5A7879" w14:textId="251E91E8" w:rsidR="0062364C" w:rsidRPr="0062364C" w:rsidRDefault="0062364C" w:rsidP="00F44548">
      <w:pPr>
        <w:pStyle w:val="Quote"/>
      </w:pPr>
      <w:r w:rsidRPr="0062364C">
        <w:t>40.  The same sentiment was expressed by Mr Waddingham (SFS</w:t>
      </w:r>
      <w:r w:rsidR="00656BCC">
        <w:t>’</w:t>
      </w:r>
      <w:r w:rsidRPr="0062364C">
        <w:t xml:space="preserve">s </w:t>
      </w:r>
      <w:r w:rsidR="00656BCC">
        <w:t xml:space="preserve">[i.e. the defendant’s] </w:t>
      </w:r>
      <w:r w:rsidRPr="0062364C">
        <w:t xml:space="preserve">expert). He said in relation to the figures produced by SFS in January 1997 that the PFW figures would only match the benefits under the </w:t>
      </w:r>
      <w:proofErr w:type="spellStart"/>
      <w:r w:rsidRPr="0062364C">
        <w:t>Avesta</w:t>
      </w:r>
      <w:proofErr w:type="spellEnd"/>
      <w:r w:rsidRPr="0062364C">
        <w:t xml:space="preserve"> scheme (on the footing that Mr Shore deferred taking his benefits until the age of 60) if there was a growth in the fund of 14</w:t>
      </w:r>
      <w:r w:rsidR="00EE2467">
        <w:t>.</w:t>
      </w:r>
      <w:r w:rsidRPr="0062364C">
        <w:t xml:space="preserve">5% pa. He described this as a </w:t>
      </w:r>
      <w:r w:rsidR="0008392C">
        <w:t>‘</w:t>
      </w:r>
      <w:r w:rsidRPr="0062364C">
        <w:t>racy objective</w:t>
      </w:r>
      <w:r w:rsidR="0008392C">
        <w:t>’</w:t>
      </w:r>
      <w:r w:rsidRPr="0062364C">
        <w:t xml:space="preserve"> and </w:t>
      </w:r>
      <w:r w:rsidR="0008392C">
        <w:t>‘</w:t>
      </w:r>
      <w:r w:rsidRPr="0062364C">
        <w:t>something for the adventurous</w:t>
      </w:r>
      <w:r w:rsidR="0008392C">
        <w:t>’</w:t>
      </w:r>
      <w:r w:rsidRPr="0062364C">
        <w:t>.</w:t>
      </w:r>
    </w:p>
    <w:p w14:paraId="73879C09" w14:textId="20D04341" w:rsidR="00E445EA" w:rsidRDefault="0062364C" w:rsidP="00F44548">
      <w:pPr>
        <w:pStyle w:val="Quote"/>
      </w:pPr>
      <w:r w:rsidRPr="0062364C">
        <w:t>41.  In these circumstances, in my view it is not possible to say that Mr Shore did not suffer financial loss on 28 April 1997 when he invested in the PFW scheme.</w:t>
      </w:r>
      <w:r w:rsidR="00E445EA">
        <w:t>”</w:t>
      </w:r>
    </w:p>
    <w:p w14:paraId="70B0E383" w14:textId="5D826131" w:rsidR="0008392C" w:rsidRDefault="00425C8B" w:rsidP="00F44548">
      <w:pPr>
        <w:pStyle w:val="ParaLevel1"/>
      </w:pPr>
      <w:r>
        <w:t xml:space="preserve">Cases such as </w:t>
      </w:r>
      <w:r>
        <w:rPr>
          <w:i/>
          <w:iCs/>
        </w:rPr>
        <w:t>Bell</w:t>
      </w:r>
      <w:r w:rsidR="00D64434">
        <w:t xml:space="preserve">, </w:t>
      </w:r>
      <w:r w:rsidR="00D64434">
        <w:rPr>
          <w:i/>
          <w:iCs/>
        </w:rPr>
        <w:t>Knapp</w:t>
      </w:r>
      <w:r w:rsidR="00D64434">
        <w:t xml:space="preserve">, </w:t>
      </w:r>
      <w:r w:rsidR="00D64434">
        <w:rPr>
          <w:i/>
          <w:iCs/>
        </w:rPr>
        <w:t xml:space="preserve">Shore </w:t>
      </w:r>
      <w:r w:rsidR="00D64434">
        <w:t xml:space="preserve">and </w:t>
      </w:r>
      <w:r w:rsidR="00D64434">
        <w:rPr>
          <w:i/>
          <w:iCs/>
        </w:rPr>
        <w:t xml:space="preserve">Maharaj v Johnson </w:t>
      </w:r>
      <w:r w:rsidR="00D64434">
        <w:t>need to be distinguished from those in which the claimant merely assumed a contingent liability.</w:t>
      </w:r>
      <w:r w:rsidR="00054E5B">
        <w:t xml:space="preserve"> In </w:t>
      </w:r>
      <w:proofErr w:type="spellStart"/>
      <w:r w:rsidR="00054E5B">
        <w:rPr>
          <w:i/>
          <w:iCs/>
        </w:rPr>
        <w:t>Sephton</w:t>
      </w:r>
      <w:proofErr w:type="spellEnd"/>
      <w:r w:rsidR="00054E5B">
        <w:t xml:space="preserve">, the House of Lords held that </w:t>
      </w:r>
      <w:r w:rsidR="00C37D6E">
        <w:t>“the possibility of an obligation to pay money in the future is not in itself damage”</w:t>
      </w:r>
      <w:r w:rsidR="008F0EEF">
        <w:t xml:space="preserve">, </w:t>
      </w:r>
      <w:r w:rsidR="00C37D6E">
        <w:t>to quote Lord Hoffmann at paragraph 31.</w:t>
      </w:r>
      <w:r w:rsidR="008F0EEF">
        <w:t xml:space="preserve"> In the previous paragraph, Lord Hoffmann had said:</w:t>
      </w:r>
    </w:p>
    <w:p w14:paraId="6DD778C1" w14:textId="03DE2F14" w:rsidR="008F0EEF" w:rsidRDefault="008F0EEF" w:rsidP="00F44548">
      <w:pPr>
        <w:pStyle w:val="Quote"/>
      </w:pPr>
      <w:r>
        <w:t>“</w:t>
      </w:r>
      <w:r w:rsidR="007E353D" w:rsidRPr="007E353D">
        <w:t>A contingent liability is not as such damage until the contingency occurs. The existence of a contingent liability may depress the value of other property, as in </w:t>
      </w:r>
      <w:r w:rsidR="007E353D" w:rsidRPr="008F5325">
        <w:rPr>
          <w:i/>
          <w:iCs/>
        </w:rPr>
        <w:t xml:space="preserve">Forster v </w:t>
      </w:r>
      <w:proofErr w:type="spellStart"/>
      <w:r w:rsidR="007E353D" w:rsidRPr="008F5325">
        <w:rPr>
          <w:i/>
          <w:iCs/>
        </w:rPr>
        <w:t>Outred</w:t>
      </w:r>
      <w:proofErr w:type="spellEnd"/>
      <w:r w:rsidR="007E353D" w:rsidRPr="008F5325">
        <w:rPr>
          <w:i/>
          <w:iCs/>
        </w:rPr>
        <w:t xml:space="preserve"> &amp; Co </w:t>
      </w:r>
      <w:r w:rsidR="007E353D" w:rsidRPr="008F5325">
        <w:t xml:space="preserve">[1982] 1 WLR 86, or it may mean </w:t>
      </w:r>
      <w:r w:rsidR="007E353D" w:rsidRPr="007E353D">
        <w:t>that a party to a bilateral transaction has received less than he should have done, or is worse off than if he had not entered into the transaction (according to which is the appropriate measure of damages in the circumstances). But, standing alone as in this case, the contingency is not damage.</w:t>
      </w:r>
      <w:r>
        <w:t>”</w:t>
      </w:r>
    </w:p>
    <w:p w14:paraId="6DF39288" w14:textId="278A7853" w:rsidR="0020306E" w:rsidRDefault="00A95736" w:rsidP="00F44548">
      <w:pPr>
        <w:pStyle w:val="ParaNoNumber"/>
        <w:ind w:left="720"/>
      </w:pPr>
      <w:r>
        <w:t xml:space="preserve">Accordingly, </w:t>
      </w:r>
      <w:r w:rsidR="00562DED">
        <w:t>“</w:t>
      </w:r>
      <w:r w:rsidR="00562DED" w:rsidRPr="00562DED">
        <w:t>merely incurring a possible future liability (for example, by giving a guarantee or indemnity unsecured upon any property)</w:t>
      </w:r>
      <w:r w:rsidR="00562DED">
        <w:t>” would not</w:t>
      </w:r>
      <w:r w:rsidR="00562DED" w:rsidRPr="00562DED">
        <w:t xml:space="preserve"> count as immediate damage</w:t>
      </w:r>
      <w:r w:rsidR="00F16201">
        <w:t xml:space="preserve"> (see paragraph 14</w:t>
      </w:r>
      <w:r w:rsidR="00D85B92">
        <w:t xml:space="preserve"> of </w:t>
      </w:r>
      <w:proofErr w:type="spellStart"/>
      <w:r w:rsidR="00D85B92">
        <w:rPr>
          <w:i/>
          <w:iCs/>
        </w:rPr>
        <w:t>Septhon</w:t>
      </w:r>
      <w:proofErr w:type="spellEnd"/>
      <w:r w:rsidR="00F16201">
        <w:t>).</w:t>
      </w:r>
      <w:r w:rsidR="006744C8">
        <w:t xml:space="preserve"> </w:t>
      </w:r>
    </w:p>
    <w:p w14:paraId="74A1178A" w14:textId="114410CF" w:rsidR="00A95736" w:rsidRDefault="0020306E" w:rsidP="00F44548">
      <w:pPr>
        <w:pStyle w:val="ParaLevel1"/>
      </w:pPr>
      <w:r>
        <w:t xml:space="preserve">For his part, </w:t>
      </w:r>
      <w:r w:rsidR="006744C8">
        <w:t>Lord Walker</w:t>
      </w:r>
      <w:r>
        <w:t>, h</w:t>
      </w:r>
      <w:r w:rsidRPr="0020306E">
        <w:t xml:space="preserve">aving referred to, among other cases, </w:t>
      </w:r>
      <w:r w:rsidRPr="0020306E">
        <w:rPr>
          <w:i/>
          <w:iCs/>
        </w:rPr>
        <w:t>Bell</w:t>
      </w:r>
      <w:r w:rsidRPr="0020306E">
        <w:t xml:space="preserve"> and </w:t>
      </w:r>
      <w:r w:rsidRPr="0020306E">
        <w:rPr>
          <w:i/>
          <w:iCs/>
        </w:rPr>
        <w:t>Knapp</w:t>
      </w:r>
      <w:r w:rsidRPr="0020306E">
        <w:t>,</w:t>
      </w:r>
      <w:r w:rsidR="006744C8">
        <w:t xml:space="preserve"> said at </w:t>
      </w:r>
      <w:r w:rsidR="0092765A">
        <w:t>paragraph 48:</w:t>
      </w:r>
    </w:p>
    <w:p w14:paraId="6E01B43F" w14:textId="4C0158D1" w:rsidR="0092765A" w:rsidRDefault="0092765A" w:rsidP="00F44548">
      <w:pPr>
        <w:pStyle w:val="Quote"/>
      </w:pPr>
      <w:r>
        <w:t>“</w:t>
      </w:r>
      <w:r w:rsidR="0096410C" w:rsidRPr="0096410C">
        <w:t>In all these cases the claimant has as a result of professional negligence suffered a diminution (sometimes immediately quantifiable, often not yet quantifiable) in the value of an existing asset of his, or has been disappointed (as against what he was entitled to expect) in an asset which he acquires, whether it is a house, a business arrangement, an insurance policy, or a claim for damages. Your Lordships have not, I think, been shown any case in which the imposition on a claimant of a purely personal and wholly contingent liability, unsecured by a charge on any of the claimant</w:t>
      </w:r>
      <w:r w:rsidR="0096410C">
        <w:t>’</w:t>
      </w:r>
      <w:r w:rsidR="0096410C" w:rsidRPr="0096410C">
        <w:t>s assets, has been treated as actual loss. That would have been the position if the claimant in the </w:t>
      </w:r>
      <w:r w:rsidR="0096410C" w:rsidRPr="0096410C">
        <w:rPr>
          <w:i/>
          <w:iCs/>
        </w:rPr>
        <w:t>Forster</w:t>
      </w:r>
      <w:r w:rsidR="0096410C">
        <w:rPr>
          <w:i/>
          <w:iCs/>
        </w:rPr>
        <w:t xml:space="preserve"> </w:t>
      </w:r>
      <w:r w:rsidR="0096410C" w:rsidRPr="0096410C">
        <w:t>case</w:t>
      </w:r>
      <w:r w:rsidR="0096410C">
        <w:t xml:space="preserve"> </w:t>
      </w:r>
      <w:r w:rsidR="0096410C" w:rsidRPr="0096410C">
        <w:t>[1982]</w:t>
      </w:r>
      <w:r w:rsidR="0096410C">
        <w:t xml:space="preserve"> </w:t>
      </w:r>
      <w:r w:rsidR="0096410C" w:rsidRPr="0096410C">
        <w:t>1 WLR 86 had given a personal covenant guaranteeing her son</w:t>
      </w:r>
      <w:r w:rsidR="0096410C">
        <w:t>’</w:t>
      </w:r>
      <w:r w:rsidR="0096410C" w:rsidRPr="0096410C">
        <w:t>s debts (which she seems not to have done</w:t>
      </w:r>
      <w:r w:rsidR="0096410C">
        <w:t xml:space="preserve"> </w:t>
      </w:r>
      <w:r w:rsidR="0096410C" w:rsidRPr="0096410C">
        <w:t>-</w:t>
      </w:r>
      <w:r w:rsidR="0096410C">
        <w:t xml:space="preserve"> </w:t>
      </w:r>
      <w:r w:rsidR="0096410C" w:rsidRPr="0096410C">
        <w:t>she paid them simply to prevent enforcement of the security on her farm) and if she had not given any security over any of her own assets.</w:t>
      </w:r>
      <w:r>
        <w:t>”</w:t>
      </w:r>
    </w:p>
    <w:p w14:paraId="6AB931C6" w14:textId="193A1D26" w:rsidR="0096410C" w:rsidRDefault="00BA48F6" w:rsidP="00F44548">
      <w:pPr>
        <w:pStyle w:val="ParaLevel1"/>
      </w:pPr>
      <w:r>
        <w:t xml:space="preserve">The Court of Appeal considered the implications of </w:t>
      </w:r>
      <w:proofErr w:type="spellStart"/>
      <w:r>
        <w:rPr>
          <w:i/>
          <w:iCs/>
        </w:rPr>
        <w:t>Sephton</w:t>
      </w:r>
      <w:proofErr w:type="spellEnd"/>
      <w:r>
        <w:rPr>
          <w:i/>
          <w:iCs/>
        </w:rPr>
        <w:t xml:space="preserve"> </w:t>
      </w:r>
      <w:r w:rsidR="00AD5864">
        <w:t xml:space="preserve">in </w:t>
      </w:r>
      <w:proofErr w:type="spellStart"/>
      <w:r w:rsidR="00AD5864">
        <w:rPr>
          <w:i/>
          <w:iCs/>
        </w:rPr>
        <w:t>Axa</w:t>
      </w:r>
      <w:proofErr w:type="spellEnd"/>
      <w:r w:rsidR="00AD5864">
        <w:rPr>
          <w:i/>
          <w:iCs/>
        </w:rPr>
        <w:t xml:space="preserve"> Insurance Ltd v </w:t>
      </w:r>
      <w:proofErr w:type="spellStart"/>
      <w:r w:rsidR="00AD5864">
        <w:rPr>
          <w:i/>
          <w:iCs/>
        </w:rPr>
        <w:t>Akther</w:t>
      </w:r>
      <w:proofErr w:type="spellEnd"/>
      <w:r w:rsidR="00AD5864">
        <w:rPr>
          <w:i/>
          <w:iCs/>
        </w:rPr>
        <w:t xml:space="preserve"> &amp; Darby </w:t>
      </w:r>
      <w:r w:rsidR="00AD5864">
        <w:t xml:space="preserve">[2009] EWCA </w:t>
      </w:r>
      <w:proofErr w:type="spellStart"/>
      <w:r w:rsidR="00AD5864">
        <w:t>Civ</w:t>
      </w:r>
      <w:proofErr w:type="spellEnd"/>
      <w:r w:rsidR="00AD5864">
        <w:t xml:space="preserve"> 1166, [2010] 1 WLR 1662</w:t>
      </w:r>
      <w:r w:rsidR="008D0E6D">
        <w:t xml:space="preserve"> (“</w:t>
      </w:r>
      <w:proofErr w:type="spellStart"/>
      <w:r w:rsidR="008D0E6D">
        <w:rPr>
          <w:i/>
          <w:iCs/>
        </w:rPr>
        <w:t>Axa</w:t>
      </w:r>
      <w:proofErr w:type="spellEnd"/>
      <w:r w:rsidR="008D0E6D">
        <w:t>”).</w:t>
      </w:r>
      <w:r w:rsidR="00D9122A">
        <w:t xml:space="preserve"> </w:t>
      </w:r>
      <w:r w:rsidR="00014F38">
        <w:t xml:space="preserve">Longmore LJ observed in paragraph 70 that </w:t>
      </w:r>
      <w:r w:rsidR="00771E59">
        <w:t>“a contingent</w:t>
      </w:r>
      <w:r w:rsidR="0083228E">
        <w:t xml:space="preserve"> liability does not ‘of itself’ constitute ‘damage’”</w:t>
      </w:r>
      <w:r w:rsidR="00F27B1A">
        <w:t xml:space="preserve">, “[t]here must be something more”. </w:t>
      </w:r>
      <w:r w:rsidR="00776592">
        <w:t xml:space="preserve">In a similar vein, </w:t>
      </w:r>
      <w:r w:rsidR="00D9122A">
        <w:t>Arden LJ</w:t>
      </w:r>
      <w:r w:rsidR="00776592">
        <w:t>, the other member of the majority of the Court,</w:t>
      </w:r>
      <w:r w:rsidR="00D9122A">
        <w:t xml:space="preserve"> observed at paragraph </w:t>
      </w:r>
      <w:r w:rsidR="001516B9">
        <w:t>33</w:t>
      </w:r>
      <w:r w:rsidR="00D9122A">
        <w:t xml:space="preserve"> that </w:t>
      </w:r>
      <w:r w:rsidR="000464CE">
        <w:t>“</w:t>
      </w:r>
      <w:r w:rsidR="002121EF" w:rsidRPr="002121EF">
        <w:t xml:space="preserve">the central idea in the </w:t>
      </w:r>
      <w:proofErr w:type="spellStart"/>
      <w:r w:rsidR="002121EF" w:rsidRPr="002121EF">
        <w:rPr>
          <w:i/>
          <w:iCs/>
        </w:rPr>
        <w:t>Sephton</w:t>
      </w:r>
      <w:proofErr w:type="spellEnd"/>
      <w:r w:rsidR="002121EF" w:rsidRPr="002121EF">
        <w:t xml:space="preserve"> case is that there has to be loss additional to that resulting from the incurring of a purely contingent liability</w:t>
      </w:r>
      <w:r w:rsidR="000464CE">
        <w:t xml:space="preserve">”. </w:t>
      </w:r>
      <w:r w:rsidR="001516B9">
        <w:t>T</w:t>
      </w:r>
      <w:r w:rsidR="00D9122A">
        <w:t xml:space="preserve">he speeches in </w:t>
      </w:r>
      <w:proofErr w:type="spellStart"/>
      <w:r w:rsidR="00D9122A">
        <w:rPr>
          <w:i/>
          <w:iCs/>
        </w:rPr>
        <w:t>Sephton</w:t>
      </w:r>
      <w:proofErr w:type="spellEnd"/>
      <w:r w:rsidR="001516B9">
        <w:t xml:space="preserve">, </w:t>
      </w:r>
      <w:r w:rsidR="002121EF">
        <w:t>Arden LJ</w:t>
      </w:r>
      <w:r w:rsidR="001516B9">
        <w:t xml:space="preserve"> said in paragraph 27,</w:t>
      </w:r>
      <w:r w:rsidR="009E7AB2">
        <w:rPr>
          <w:i/>
          <w:iCs/>
        </w:rPr>
        <w:t xml:space="preserve"> </w:t>
      </w:r>
      <w:r w:rsidR="009E7AB2">
        <w:t xml:space="preserve">“draw </w:t>
      </w:r>
      <w:r w:rsidR="009E7AB2" w:rsidRPr="009E7AB2">
        <w:t>a distinction between contingent liabilities which affect particular assets of the person subject to the liability as well as his legal position, and contingent liabilities which have little or no effect on his legal position or assets</w:t>
      </w:r>
      <w:r w:rsidR="009E7AB2">
        <w:t>”</w:t>
      </w:r>
      <w:r w:rsidR="00516603">
        <w:t>. Thus</w:t>
      </w:r>
      <w:r w:rsidR="00884D6F">
        <w:t xml:space="preserve">, </w:t>
      </w:r>
      <w:r w:rsidR="00516603">
        <w:t>“</w:t>
      </w:r>
      <w:r w:rsidR="00DE2B57" w:rsidRPr="00DE2B57">
        <w:t>if a claimant gave a personal guarantee, unsecured on any property of his, time would not begin to run for the purposes of any claim against his solicitor for negligent advice at the time he entered into the transaction until a call was made on him as guarantor</w:t>
      </w:r>
      <w:r w:rsidR="00DE2B57">
        <w:t>”</w:t>
      </w:r>
      <w:r w:rsidR="002F4A4E">
        <w:t xml:space="preserve"> (to quote Arden LJ at paragraph 17; see </w:t>
      </w:r>
      <w:r w:rsidR="00FE2523">
        <w:t>too</w:t>
      </w:r>
      <w:r w:rsidR="002F4A4E">
        <w:t xml:space="preserve"> paragraphs </w:t>
      </w:r>
      <w:r w:rsidR="00465983">
        <w:t>22,</w:t>
      </w:r>
      <w:r w:rsidR="002B11AE">
        <w:t xml:space="preserve"> 25, 27 and 28)</w:t>
      </w:r>
      <w:r w:rsidR="00776592">
        <w:t>.</w:t>
      </w:r>
    </w:p>
    <w:p w14:paraId="657CE9B5" w14:textId="57F35417" w:rsidR="00905DD6" w:rsidRDefault="00905DD6" w:rsidP="00F44548">
      <w:pPr>
        <w:pStyle w:val="ParaHeading"/>
        <w:rPr>
          <w:b/>
          <w:u w:val="single"/>
        </w:rPr>
      </w:pPr>
      <w:r>
        <w:rPr>
          <w:b/>
          <w:u w:val="single"/>
        </w:rPr>
        <w:t>The parties’ cases in outline</w:t>
      </w:r>
    </w:p>
    <w:p w14:paraId="2CEDCC73" w14:textId="48AF6754" w:rsidR="00905DD6" w:rsidRDefault="00155B8E" w:rsidP="00F44548">
      <w:pPr>
        <w:pStyle w:val="ParaLevel1"/>
      </w:pPr>
      <w:r>
        <w:t xml:space="preserve">Mr Simon Goldstone, who appeared for </w:t>
      </w:r>
      <w:proofErr w:type="spellStart"/>
      <w:r>
        <w:t>Hattens</w:t>
      </w:r>
      <w:proofErr w:type="spellEnd"/>
      <w:r>
        <w:t xml:space="preserve">, </w:t>
      </w:r>
      <w:r w:rsidR="00AA0923">
        <w:t>argued that</w:t>
      </w:r>
      <w:r w:rsidR="00C45FB7">
        <w:t xml:space="preserve"> Mrs Elliott suffered damage as soon as the lease and underlease were executed. </w:t>
      </w:r>
      <w:r w:rsidR="002B0C14">
        <w:t xml:space="preserve">She was immediately in </w:t>
      </w:r>
      <w:r w:rsidR="00F86743">
        <w:t>a measurabl</w:t>
      </w:r>
      <w:r w:rsidR="00707491">
        <w:t>y</w:t>
      </w:r>
      <w:r w:rsidR="00F86743">
        <w:t xml:space="preserve"> less advantageous position than she should have been</w:t>
      </w:r>
      <w:r w:rsidR="00E35E26">
        <w:t xml:space="preserve">. </w:t>
      </w:r>
      <w:proofErr w:type="spellStart"/>
      <w:r w:rsidR="005A718C">
        <w:t>Hattens</w:t>
      </w:r>
      <w:proofErr w:type="spellEnd"/>
      <w:r w:rsidR="005A718C">
        <w:t xml:space="preserve">’ negligence served to deprive her of certain </w:t>
      </w:r>
      <w:r w:rsidR="00712C3A">
        <w:t>of the benefits which she should have obtained from the transaction (</w:t>
      </w:r>
      <w:r w:rsidR="000A44C0">
        <w:t>in particular, the right to a guaranteed rental stream and a property that was insured)</w:t>
      </w:r>
      <w:r w:rsidR="002B1E75">
        <w:t xml:space="preserve"> and</w:t>
      </w:r>
      <w:r w:rsidR="00DF210B">
        <w:t xml:space="preserve"> so </w:t>
      </w:r>
      <w:r w:rsidR="00BE3B2F">
        <w:t>they were at once vulnerable to a tortious claim</w:t>
      </w:r>
      <w:r w:rsidR="000A44C0">
        <w:t>.</w:t>
      </w:r>
      <w:r w:rsidR="005C4273">
        <w:t xml:space="preserve"> </w:t>
      </w:r>
      <w:r w:rsidR="00AA3A25">
        <w:t>Mrs Elliott’s loss was not purely contingent and the Judge was mistaken</w:t>
      </w:r>
      <w:r w:rsidR="00AA3A25" w:rsidRPr="00AA3A25">
        <w:t xml:space="preserve"> in attaching importance to whether </w:t>
      </w:r>
      <w:r w:rsidR="00BC1E5D">
        <w:t>she</w:t>
      </w:r>
      <w:r w:rsidR="00AA3A25" w:rsidRPr="00AA3A25">
        <w:t xml:space="preserve"> wished to assign</w:t>
      </w:r>
      <w:r w:rsidR="00AA3A25">
        <w:t>.</w:t>
      </w:r>
      <w:r w:rsidR="00AA3A25" w:rsidRPr="00AA3A25">
        <w:t xml:space="preserve"> </w:t>
      </w:r>
      <w:r w:rsidR="00AA3A25">
        <w:t>T</w:t>
      </w:r>
      <w:r w:rsidR="00AA3A25" w:rsidRPr="00AA3A25">
        <w:t xml:space="preserve">he package of rights </w:t>
      </w:r>
      <w:r w:rsidR="00AA3A25">
        <w:t xml:space="preserve">which </w:t>
      </w:r>
      <w:r w:rsidR="00BC1E5D">
        <w:t>Mrs Elliott</w:t>
      </w:r>
      <w:r w:rsidR="00AA3A25" w:rsidRPr="00AA3A25">
        <w:t xml:space="preserve"> received was objectively less valuable</w:t>
      </w:r>
      <w:r w:rsidR="00AA3A25">
        <w:t xml:space="preserve"> and</w:t>
      </w:r>
      <w:r w:rsidR="005546DB">
        <w:t xml:space="preserve"> the cause of action therefore accrued regardless of </w:t>
      </w:r>
      <w:r w:rsidR="005D42CF">
        <w:t>her intentions as to assignment.</w:t>
      </w:r>
    </w:p>
    <w:p w14:paraId="11C87358" w14:textId="4AEA5AAD" w:rsidR="00AE2CCD" w:rsidRDefault="00C159E2" w:rsidP="00F44548">
      <w:pPr>
        <w:pStyle w:val="ParaLevel1"/>
      </w:pPr>
      <w:r>
        <w:t>In contrast, Mr Crowley supported the Judge’s decision.</w:t>
      </w:r>
      <w:r w:rsidR="00D906DA">
        <w:t xml:space="preserve"> There was, he submitted, no measurable loss </w:t>
      </w:r>
      <w:r w:rsidR="001A1685">
        <w:t>before</w:t>
      </w:r>
      <w:r w:rsidR="00D906DA">
        <w:t xml:space="preserve"> </w:t>
      </w:r>
      <w:r w:rsidR="002220CD">
        <w:t>the fire.</w:t>
      </w:r>
      <w:r w:rsidR="00DD18B9">
        <w:t xml:space="preserve"> Every case has to be determined on its own facts and, here, </w:t>
      </w:r>
      <w:r w:rsidR="00AD5665">
        <w:t xml:space="preserve">Mrs Elliott did not suffer any actual loss or damage </w:t>
      </w:r>
      <w:r w:rsidR="00D20978">
        <w:t xml:space="preserve">as a result of the absence of a guarantee until after Mr </w:t>
      </w:r>
      <w:proofErr w:type="spellStart"/>
      <w:r w:rsidR="00D20978">
        <w:t>Ma</w:t>
      </w:r>
      <w:r w:rsidR="00DC5A0F">
        <w:t>l</w:t>
      </w:r>
      <w:r w:rsidR="00D20978">
        <w:t>ster</w:t>
      </w:r>
      <w:proofErr w:type="spellEnd"/>
      <w:r w:rsidR="00D20978">
        <w:t xml:space="preserve"> </w:t>
      </w:r>
      <w:r w:rsidR="00251A8B">
        <w:t xml:space="preserve">had </w:t>
      </w:r>
      <w:r w:rsidR="00D20978">
        <w:t>defaulted on his obligation</w:t>
      </w:r>
      <w:r w:rsidR="00FC6C50">
        <w:t xml:space="preserve">s and did not suffer any actual loss or damage as a result of </w:t>
      </w:r>
      <w:proofErr w:type="spellStart"/>
      <w:r w:rsidR="00FC6C50">
        <w:t>Hattens</w:t>
      </w:r>
      <w:proofErr w:type="spellEnd"/>
      <w:r w:rsidR="00FC6C50">
        <w:t xml:space="preserve">’ failure </w:t>
      </w:r>
      <w:r w:rsidR="00902549">
        <w:t xml:space="preserve">to advise on insurance </w:t>
      </w:r>
      <w:r w:rsidR="001A1685">
        <w:t>until after</w:t>
      </w:r>
      <w:r w:rsidR="00902549">
        <w:t xml:space="preserve"> the fire.</w:t>
      </w:r>
      <w:r w:rsidR="002A00C6">
        <w:t xml:space="preserve"> It had not </w:t>
      </w:r>
      <w:r w:rsidR="0078023E">
        <w:t>been part of the purpose or object of the transactions to produce assignable leases</w:t>
      </w:r>
      <w:r w:rsidR="002E2BD7">
        <w:t xml:space="preserve">, and there was no risk of Mrs Elliott’s husband forfeiting her lease </w:t>
      </w:r>
      <w:r w:rsidR="004301C4">
        <w:t>on the strength of her failure to insure.</w:t>
      </w:r>
      <w:r w:rsidR="006778D3">
        <w:t xml:space="preserve"> Just as it can be seen from </w:t>
      </w:r>
      <w:r w:rsidR="006778D3">
        <w:rPr>
          <w:i/>
          <w:iCs/>
        </w:rPr>
        <w:t xml:space="preserve">Shore </w:t>
      </w:r>
      <w:r w:rsidR="006778D3">
        <w:t xml:space="preserve">that </w:t>
      </w:r>
      <w:r w:rsidR="004A30F1">
        <w:t xml:space="preserve">a claimant’s intentions can be relevant to whether actionable damage </w:t>
      </w:r>
      <w:r w:rsidR="00C71AE9">
        <w:t>was</w:t>
      </w:r>
      <w:r w:rsidR="004A30F1">
        <w:t xml:space="preserve"> suffered, so they </w:t>
      </w:r>
      <w:r w:rsidR="006E5A64">
        <w:t>can</w:t>
      </w:r>
      <w:r w:rsidR="008F206F">
        <w:t xml:space="preserve"> mean that</w:t>
      </w:r>
      <w:r w:rsidR="00C71AE9">
        <w:t xml:space="preserve"> </w:t>
      </w:r>
      <w:r w:rsidR="00D6464C">
        <w:t xml:space="preserve">there </w:t>
      </w:r>
      <w:r w:rsidR="00E15939">
        <w:t>wa</w:t>
      </w:r>
      <w:r w:rsidR="008F206F">
        <w:t>s</w:t>
      </w:r>
      <w:r w:rsidR="00D6464C">
        <w:t xml:space="preserve"> no such damage.</w:t>
      </w:r>
      <w:r w:rsidR="00567415">
        <w:t xml:space="preserve"> </w:t>
      </w:r>
      <w:r w:rsidR="008A5B9D">
        <w:t>Alternatively, it was</w:t>
      </w:r>
      <w:r w:rsidR="009F583A">
        <w:t xml:space="preserve"> open to the Judge to find that loss </w:t>
      </w:r>
      <w:r w:rsidR="001D3876">
        <w:t>was purely contingent up to the fire</w:t>
      </w:r>
      <w:r w:rsidR="009F583A">
        <w:t>.</w:t>
      </w:r>
    </w:p>
    <w:p w14:paraId="1A774DFB" w14:textId="6E89496F" w:rsidR="001D1894" w:rsidRDefault="001D1894" w:rsidP="00F44548">
      <w:pPr>
        <w:pStyle w:val="ParaHeading"/>
        <w:rPr>
          <w:b/>
          <w:u w:val="single"/>
        </w:rPr>
      </w:pPr>
      <w:r>
        <w:rPr>
          <w:b/>
          <w:u w:val="single"/>
        </w:rPr>
        <w:t>Discussion</w:t>
      </w:r>
    </w:p>
    <w:p w14:paraId="23D31851" w14:textId="5FFE1EDD" w:rsidR="001D1894" w:rsidRDefault="00577FF3" w:rsidP="00F44548">
      <w:pPr>
        <w:pStyle w:val="ParaLevel1"/>
      </w:pPr>
      <w:r>
        <w:t xml:space="preserve">This is a “flawed transaction” case. Mrs Elliott would still have </w:t>
      </w:r>
      <w:r w:rsidR="00B1738F">
        <w:t xml:space="preserve">taken a lease of the Stanley Road premises and granted an underlease to Mr </w:t>
      </w:r>
      <w:proofErr w:type="spellStart"/>
      <w:r w:rsidR="00B1738F">
        <w:t>Ma</w:t>
      </w:r>
      <w:r w:rsidR="00DC5A0F">
        <w:t>l</w:t>
      </w:r>
      <w:r w:rsidR="00B1738F">
        <w:t>ster</w:t>
      </w:r>
      <w:proofErr w:type="spellEnd"/>
      <w:r w:rsidR="00B1738F">
        <w:t xml:space="preserve"> </w:t>
      </w:r>
      <w:r w:rsidR="007F0B91">
        <w:t xml:space="preserve">if there had been no negligence. Had, however, </w:t>
      </w:r>
      <w:proofErr w:type="spellStart"/>
      <w:r w:rsidR="007F0B91">
        <w:t>Hattens</w:t>
      </w:r>
      <w:proofErr w:type="spellEnd"/>
      <w:r w:rsidR="007F0B91">
        <w:t xml:space="preserve"> </w:t>
      </w:r>
      <w:r w:rsidR="00943B78">
        <w:t xml:space="preserve">not been negligent, Mr </w:t>
      </w:r>
      <w:proofErr w:type="spellStart"/>
      <w:r w:rsidR="00943B78">
        <w:t>Ma</w:t>
      </w:r>
      <w:r w:rsidR="00DC5A0F">
        <w:t>l</w:t>
      </w:r>
      <w:r w:rsidR="00943B78">
        <w:t>ster’s</w:t>
      </w:r>
      <w:proofErr w:type="spellEnd"/>
      <w:r w:rsidR="00943B78">
        <w:t xml:space="preserve"> parents would have guaranteed his obligations and, it is to be assumed, Mrs Elliott would have bee</w:t>
      </w:r>
      <w:r w:rsidR="00780CDF">
        <w:t>n warned of the need to insure and would have done so.</w:t>
      </w:r>
    </w:p>
    <w:p w14:paraId="3EF53AA5" w14:textId="0F456A67" w:rsidR="0050345D" w:rsidRDefault="00064E38" w:rsidP="00F44548">
      <w:pPr>
        <w:pStyle w:val="ParaLevel1"/>
      </w:pPr>
      <w:r>
        <w:t xml:space="preserve">The question then arises whether </w:t>
      </w:r>
      <w:r w:rsidR="009A13B2">
        <w:t xml:space="preserve">“the value to </w:t>
      </w:r>
      <w:r w:rsidR="005714DE">
        <w:t>[Mrs Elliott]</w:t>
      </w:r>
      <w:r w:rsidR="009A13B2">
        <w:t xml:space="preserve"> of the flawed transaction was measurably less </w:t>
      </w:r>
      <w:r w:rsidR="005714DE">
        <w:t xml:space="preserve">than what would have been the value to [her] of the flawless transaction” (to adapt slightly words of Lord Wilson in </w:t>
      </w:r>
      <w:r w:rsidR="005714DE">
        <w:rPr>
          <w:i/>
          <w:iCs/>
        </w:rPr>
        <w:t>Maharaj</w:t>
      </w:r>
      <w:r w:rsidR="005714DE">
        <w:t xml:space="preserve">). On the face </w:t>
      </w:r>
      <w:r w:rsidR="00B157BF">
        <w:t>o</w:t>
      </w:r>
      <w:r w:rsidR="005714DE">
        <w:t>f it, the answer is obvious</w:t>
      </w:r>
      <w:r w:rsidR="00DB2E4F">
        <w:t xml:space="preserve">: </w:t>
      </w:r>
      <w:r w:rsidR="004B5D21">
        <w:t>apart from anything else</w:t>
      </w:r>
      <w:r w:rsidR="00407F71">
        <w:t>,</w:t>
      </w:r>
      <w:r w:rsidR="004B5D21">
        <w:t xml:space="preserve"> </w:t>
      </w:r>
      <w:r w:rsidR="003630CF">
        <w:t xml:space="preserve">Mrs Elliott’s lease must have been less valuable because </w:t>
      </w:r>
      <w:r w:rsidR="005F50D7">
        <w:t xml:space="preserve">there was no guarantor </w:t>
      </w:r>
      <w:r w:rsidR="00302436">
        <w:t xml:space="preserve">in respect of the underlease she had granted and, for good measure, </w:t>
      </w:r>
      <w:r w:rsidR="00835F39">
        <w:t xml:space="preserve">it was not within her power to remedy the deficiency without the cooperation of Mr </w:t>
      </w:r>
      <w:proofErr w:type="spellStart"/>
      <w:r w:rsidR="00835F39">
        <w:t>Ma</w:t>
      </w:r>
      <w:r w:rsidR="00DC5A0F">
        <w:t>l</w:t>
      </w:r>
      <w:r w:rsidR="00835F39">
        <w:t>ster’s</w:t>
      </w:r>
      <w:proofErr w:type="spellEnd"/>
      <w:r w:rsidR="00835F39">
        <w:t xml:space="preserve"> parents. </w:t>
      </w:r>
      <w:r w:rsidR="00572952">
        <w:t>While it would not have been possible</w:t>
      </w:r>
      <w:r w:rsidR="001F4F82">
        <w:t xml:space="preserve"> to say how far, if at all, Mrs Elliott might have </w:t>
      </w:r>
      <w:r w:rsidR="006A7E36">
        <w:t xml:space="preserve">wished to call on a guarantee, there can be no doubt that, looking at matters objectively, </w:t>
      </w:r>
      <w:r w:rsidR="007737F4">
        <w:t xml:space="preserve">what she received from the transaction was </w:t>
      </w:r>
      <w:r w:rsidR="00A62518">
        <w:t xml:space="preserve">significantly inferior to what she should have </w:t>
      </w:r>
      <w:r w:rsidR="0034218E">
        <w:t>received.</w:t>
      </w:r>
      <w:r w:rsidR="00750378">
        <w:t xml:space="preserve"> The reversion to an underlease with </w:t>
      </w:r>
      <w:r w:rsidR="00662931">
        <w:t>the benefit of</w:t>
      </w:r>
      <w:r w:rsidR="00094F44">
        <w:t xml:space="preserve"> Mr </w:t>
      </w:r>
      <w:proofErr w:type="spellStart"/>
      <w:r w:rsidR="00094F44">
        <w:t>Ma</w:t>
      </w:r>
      <w:r w:rsidR="00DC5A0F">
        <w:t>l</w:t>
      </w:r>
      <w:r w:rsidR="00094F44">
        <w:t>ster’s</w:t>
      </w:r>
      <w:proofErr w:type="spellEnd"/>
      <w:r w:rsidR="00094F44">
        <w:t xml:space="preserve"> parents as guarantors </w:t>
      </w:r>
      <w:r w:rsidR="00F24D62">
        <w:t xml:space="preserve">would plainly have been of measurably greater value than </w:t>
      </w:r>
      <w:r w:rsidR="000F0138">
        <w:t>t</w:t>
      </w:r>
      <w:r w:rsidR="005F510B">
        <w:t>ha</w:t>
      </w:r>
      <w:r w:rsidR="005E573A">
        <w:t xml:space="preserve">t to the unguaranteed underlease which </w:t>
      </w:r>
      <w:proofErr w:type="spellStart"/>
      <w:r w:rsidR="005E573A">
        <w:t>Hattens</w:t>
      </w:r>
      <w:proofErr w:type="spellEnd"/>
      <w:r w:rsidR="005E573A">
        <w:t xml:space="preserve">’ negligence led Mrs Elliott to grant. </w:t>
      </w:r>
      <w:r w:rsidR="00E86EA0">
        <w:t>An expert could doubtless have put a figure on the difference.</w:t>
      </w:r>
    </w:p>
    <w:p w14:paraId="4D8F085B" w14:textId="2C866A3C" w:rsidR="00AE3593" w:rsidRDefault="00AE3593" w:rsidP="00F44548">
      <w:pPr>
        <w:pStyle w:val="ParaLevel1"/>
      </w:pPr>
      <w:r>
        <w:t>The</w:t>
      </w:r>
      <w:r w:rsidR="00C25CB5">
        <w:t xml:space="preserve"> present case </w:t>
      </w:r>
      <w:r w:rsidR="00A66C8E">
        <w:t xml:space="preserve">does not resemble </w:t>
      </w:r>
      <w:proofErr w:type="spellStart"/>
      <w:r w:rsidR="00A66C8E">
        <w:rPr>
          <w:i/>
          <w:iCs/>
        </w:rPr>
        <w:t>Sephton</w:t>
      </w:r>
      <w:proofErr w:type="spellEnd"/>
      <w:r w:rsidR="00A66C8E">
        <w:t xml:space="preserve">. </w:t>
      </w:r>
      <w:r w:rsidR="005D04AB">
        <w:t xml:space="preserve">As Longmore LJ noted in </w:t>
      </w:r>
      <w:proofErr w:type="spellStart"/>
      <w:r w:rsidR="005D04AB">
        <w:rPr>
          <w:i/>
          <w:iCs/>
        </w:rPr>
        <w:t>Axa</w:t>
      </w:r>
      <w:proofErr w:type="spellEnd"/>
      <w:r w:rsidR="005D04AB">
        <w:t xml:space="preserve">, </w:t>
      </w:r>
      <w:proofErr w:type="spellStart"/>
      <w:r w:rsidR="005D04AB">
        <w:rPr>
          <w:i/>
          <w:iCs/>
        </w:rPr>
        <w:t>Sep</w:t>
      </w:r>
      <w:r w:rsidR="00B15361">
        <w:rPr>
          <w:i/>
          <w:iCs/>
        </w:rPr>
        <w:t>hton</w:t>
      </w:r>
      <w:proofErr w:type="spellEnd"/>
      <w:r w:rsidR="00B15361">
        <w:rPr>
          <w:i/>
          <w:iCs/>
        </w:rPr>
        <w:t xml:space="preserve"> </w:t>
      </w:r>
      <w:r w:rsidR="00B15361">
        <w:t xml:space="preserve">shows that </w:t>
      </w:r>
      <w:r w:rsidR="002F6BF3">
        <w:t>“</w:t>
      </w:r>
      <w:r w:rsidR="00B15361">
        <w:t>a contingent liabilit</w:t>
      </w:r>
      <w:r w:rsidR="00C52D12">
        <w:t xml:space="preserve">y does not </w:t>
      </w:r>
      <w:r w:rsidR="002F6BF3">
        <w:t>‘</w:t>
      </w:r>
      <w:r w:rsidR="00C52D12">
        <w:t>of itself</w:t>
      </w:r>
      <w:r w:rsidR="002F6BF3">
        <w:t>’</w:t>
      </w:r>
      <w:r w:rsidR="00C52D12">
        <w:t xml:space="preserve"> constitute </w:t>
      </w:r>
      <w:r w:rsidR="002F6BF3">
        <w:t>‘</w:t>
      </w:r>
      <w:r w:rsidR="00C52D12">
        <w:t>damage</w:t>
      </w:r>
      <w:r w:rsidR="002F6BF3">
        <w:t>’”</w:t>
      </w:r>
      <w:r w:rsidR="00C52D12">
        <w:t xml:space="preserve">: there must be </w:t>
      </w:r>
      <w:r w:rsidR="002F6BF3">
        <w:t>“something more”. Her</w:t>
      </w:r>
      <w:r w:rsidR="003F3409">
        <w:t xml:space="preserve">e, </w:t>
      </w:r>
      <w:proofErr w:type="spellStart"/>
      <w:r w:rsidR="00A30D03">
        <w:t>Hattens</w:t>
      </w:r>
      <w:proofErr w:type="spellEnd"/>
      <w:r w:rsidR="00A30D03">
        <w:t>’ negligence did not cause Mrs Elliott to assume a</w:t>
      </w:r>
      <w:r w:rsidR="00953CB7">
        <w:t xml:space="preserve">ny </w:t>
      </w:r>
      <w:r w:rsidR="00953CB7">
        <w:rPr>
          <w:i/>
          <w:iCs/>
        </w:rPr>
        <w:t>liability</w:t>
      </w:r>
      <w:r w:rsidR="00953CB7">
        <w:t xml:space="preserve">: the position is rather that she obtained less advantageous rights. </w:t>
      </w:r>
      <w:r w:rsidR="002C4B9B">
        <w:t>More importantly,</w:t>
      </w:r>
      <w:r w:rsidR="00F575BA">
        <w:t xml:space="preserve"> perhaps,</w:t>
      </w:r>
      <w:r w:rsidR="002C4B9B">
        <w:t xml:space="preserve"> there was “something more”.</w:t>
      </w:r>
      <w:r w:rsidR="00A225EA">
        <w:t xml:space="preserve"> The fact that the underlease had no guarantor </w:t>
      </w:r>
      <w:r w:rsidR="00D928EB">
        <w:t xml:space="preserve">affected property </w:t>
      </w:r>
      <w:r w:rsidR="00F172FB">
        <w:t xml:space="preserve">of Mrs Elliott, viz. </w:t>
      </w:r>
      <w:r w:rsidR="002E7183">
        <w:t>her lease.</w:t>
      </w:r>
      <w:r w:rsidR="0020494A">
        <w:t xml:space="preserve"> </w:t>
      </w:r>
      <w:r w:rsidR="00583149">
        <w:t>Mrs Elliott was “disappointed (as against what [she] was entitled to expect</w:t>
      </w:r>
      <w:r w:rsidR="00A81BE8">
        <w:t xml:space="preserve">) </w:t>
      </w:r>
      <w:r w:rsidR="004B73BF">
        <w:t xml:space="preserve">in </w:t>
      </w:r>
      <w:r w:rsidR="00A81BE8">
        <w:t xml:space="preserve">an asset which [she acquired]” </w:t>
      </w:r>
      <w:r w:rsidR="000B385E">
        <w:t>and “received less than [she] should have done</w:t>
      </w:r>
      <w:r w:rsidR="00E64C29">
        <w:t xml:space="preserve">” as “a party to a bilateral transaction” (to use words </w:t>
      </w:r>
      <w:r w:rsidR="00DD3E72">
        <w:t xml:space="preserve">of Lords Walker and Hoffmann in </w:t>
      </w:r>
      <w:proofErr w:type="spellStart"/>
      <w:r w:rsidR="00DD3E72">
        <w:rPr>
          <w:i/>
          <w:iCs/>
        </w:rPr>
        <w:t>Sephton</w:t>
      </w:r>
      <w:proofErr w:type="spellEnd"/>
      <w:r w:rsidR="00DD3E72">
        <w:t>).</w:t>
      </w:r>
    </w:p>
    <w:p w14:paraId="3BA64794" w14:textId="2602E52D" w:rsidR="00083122" w:rsidRDefault="00970BDA" w:rsidP="00F44548">
      <w:pPr>
        <w:pStyle w:val="ParaLevel1"/>
      </w:pPr>
      <w:r>
        <w:t xml:space="preserve">The Judge, however, </w:t>
      </w:r>
      <w:r w:rsidR="00176243">
        <w:t xml:space="preserve">drew attention to the fact that Mrs Elliott </w:t>
      </w:r>
      <w:r w:rsidR="006E73E6">
        <w:t>had</w:t>
      </w:r>
      <w:r w:rsidR="00176243">
        <w:t xml:space="preserve"> not wish</w:t>
      </w:r>
      <w:r w:rsidR="006E73E6">
        <w:t>ed</w:t>
      </w:r>
      <w:r w:rsidR="00176243">
        <w:t xml:space="preserve"> to assign her </w:t>
      </w:r>
      <w:r w:rsidR="00DD4EFF">
        <w:t>lease, and Mr Crowley argued that that fact was highly relevan</w:t>
      </w:r>
      <w:r w:rsidR="001304BD">
        <w:t>t.</w:t>
      </w:r>
      <w:r w:rsidR="00BC025C">
        <w:t xml:space="preserve"> In this respect, he relied </w:t>
      </w:r>
      <w:r w:rsidR="001F7D13">
        <w:t xml:space="preserve">particularly on </w:t>
      </w:r>
      <w:r w:rsidR="001F7D13">
        <w:rPr>
          <w:i/>
          <w:iCs/>
        </w:rPr>
        <w:t>Shore</w:t>
      </w:r>
      <w:r w:rsidR="00467450">
        <w:t xml:space="preserve">. </w:t>
      </w:r>
      <w:r w:rsidR="0028145C">
        <w:t xml:space="preserve">That </w:t>
      </w:r>
      <w:r w:rsidR="00804B87">
        <w:t xml:space="preserve">decision, he argued, shows that what matters is </w:t>
      </w:r>
      <w:r w:rsidR="00D04BE1">
        <w:t xml:space="preserve">value </w:t>
      </w:r>
      <w:r w:rsidR="00D04BE1">
        <w:rPr>
          <w:i/>
          <w:iCs/>
        </w:rPr>
        <w:t>from the claimant’s point of view</w:t>
      </w:r>
      <w:r w:rsidR="00D04BE1">
        <w:t xml:space="preserve">. In </w:t>
      </w:r>
      <w:r w:rsidR="00B42720">
        <w:rPr>
          <w:i/>
          <w:iCs/>
        </w:rPr>
        <w:t>Shore</w:t>
      </w:r>
      <w:r w:rsidR="00B42720">
        <w:t xml:space="preserve">, damage was held to have accrued </w:t>
      </w:r>
      <w:r w:rsidR="00D60936">
        <w:t xml:space="preserve">because, regardless of whether </w:t>
      </w:r>
      <w:r w:rsidR="00094FA0">
        <w:t>the</w:t>
      </w:r>
      <w:r w:rsidR="00E91C66">
        <w:t xml:space="preserve"> investment in the </w:t>
      </w:r>
      <w:r w:rsidR="006D5F5C">
        <w:t>PFW scheme was objectively worth what was paid for it</w:t>
      </w:r>
      <w:r w:rsidR="00ED63F7">
        <w:t>,</w:t>
      </w:r>
      <w:r w:rsidR="00A66712">
        <w:t xml:space="preserve"> </w:t>
      </w:r>
      <w:r w:rsidR="00ED63F7">
        <w:t>it was inferior</w:t>
      </w:r>
      <w:r w:rsidR="003073BD">
        <w:t xml:space="preserve"> from Mr Shore’s point of view </w:t>
      </w:r>
      <w:r w:rsidR="00094FA0">
        <w:t>as</w:t>
      </w:r>
      <w:r w:rsidR="003073BD">
        <w:t xml:space="preserve"> </w:t>
      </w:r>
      <w:r w:rsidR="00094FA0">
        <w:t>what he wanted was a secure s</w:t>
      </w:r>
      <w:r w:rsidR="000C2811">
        <w:t xml:space="preserve">cheme. </w:t>
      </w:r>
      <w:r w:rsidR="00CC4592">
        <w:t xml:space="preserve">In </w:t>
      </w:r>
      <w:r w:rsidR="00043406">
        <w:rPr>
          <w:i/>
          <w:iCs/>
        </w:rPr>
        <w:t>Shore</w:t>
      </w:r>
      <w:r w:rsidR="00CC4592">
        <w:t>,</w:t>
      </w:r>
      <w:r w:rsidR="00EA15EE">
        <w:t xml:space="preserve"> focusing on the claimant’s intentions </w:t>
      </w:r>
      <w:r w:rsidR="00581288">
        <w:t xml:space="preserve">meant that damage was held to accrue earlier than might otherwise have been the case, but the same principle, Mr Crowley </w:t>
      </w:r>
      <w:r w:rsidR="0016172E">
        <w:t>contended</w:t>
      </w:r>
      <w:r w:rsidR="00581288">
        <w:t xml:space="preserve">, can </w:t>
      </w:r>
      <w:r w:rsidR="004B3BAF">
        <w:t xml:space="preserve">delay the accrual of a claim. In the present case, </w:t>
      </w:r>
      <w:r w:rsidR="00402557">
        <w:t xml:space="preserve">Mr Crowley </w:t>
      </w:r>
      <w:r w:rsidR="0025205E">
        <w:t>submitted</w:t>
      </w:r>
      <w:r w:rsidR="00402557">
        <w:t xml:space="preserve">, </w:t>
      </w:r>
      <w:r w:rsidR="00303D54">
        <w:t xml:space="preserve">Mrs Elliott did not wish to assign her lease and so </w:t>
      </w:r>
      <w:r w:rsidR="00A04A5A">
        <w:t>the mere fact that the absence of a guarantee might have reduced</w:t>
      </w:r>
      <w:r w:rsidR="006C4404">
        <w:t xml:space="preserve"> its assignable value is unimportant. It was not, Mr Crowley </w:t>
      </w:r>
      <w:r w:rsidR="0025205E">
        <w:t>said,</w:t>
      </w:r>
      <w:r w:rsidR="00444E75">
        <w:t xml:space="preserve"> part of the purpose or object of the transaction to produce a</w:t>
      </w:r>
      <w:r w:rsidR="00356150">
        <w:t>n assignable lease.</w:t>
      </w:r>
    </w:p>
    <w:p w14:paraId="31DE22D8" w14:textId="2046DBC7" w:rsidR="0025205E" w:rsidRDefault="00916607" w:rsidP="00F44548">
      <w:pPr>
        <w:pStyle w:val="ParaLevel1"/>
      </w:pPr>
      <w:r>
        <w:t>I cannot accept this argument.</w:t>
      </w:r>
      <w:r w:rsidR="00BF4857">
        <w:t xml:space="preserve"> In the first place</w:t>
      </w:r>
      <w:r w:rsidR="00EB4463">
        <w:t>,</w:t>
      </w:r>
      <w:r w:rsidR="002E469A">
        <w:t xml:space="preserve"> the simple fact is that Mrs Elliott did not obtain the </w:t>
      </w:r>
      <w:r w:rsidR="00C75722">
        <w:t xml:space="preserve">package of rights that she subjectively </w:t>
      </w:r>
      <w:r w:rsidR="00B80E59">
        <w:t>desired</w:t>
      </w:r>
      <w:r w:rsidR="00C75722">
        <w:t>. As Mr Crowley</w:t>
      </w:r>
      <w:r w:rsidR="00B80E59">
        <w:t xml:space="preserve"> accepted in submissions, she w</w:t>
      </w:r>
      <w:r w:rsidR="00B0542A">
        <w:t>anted</w:t>
      </w:r>
      <w:r w:rsidR="00B80E59">
        <w:t xml:space="preserve"> </w:t>
      </w:r>
      <w:r w:rsidR="00807045">
        <w:t xml:space="preserve">to have the benefit of a guarantee from Mr </w:t>
      </w:r>
      <w:proofErr w:type="spellStart"/>
      <w:r w:rsidR="00807045">
        <w:t>Ma</w:t>
      </w:r>
      <w:r w:rsidR="00DC5A0F">
        <w:t>l</w:t>
      </w:r>
      <w:r w:rsidR="00807045">
        <w:t>ster’s</w:t>
      </w:r>
      <w:proofErr w:type="spellEnd"/>
      <w:r w:rsidR="00807045">
        <w:t xml:space="preserve"> parents</w:t>
      </w:r>
      <w:r w:rsidR="00B136C8">
        <w:t xml:space="preserve"> from the outset, but that was not provided. </w:t>
      </w:r>
      <w:r w:rsidR="00B71769">
        <w:t xml:space="preserve">True it may be that she </w:t>
      </w:r>
      <w:r w:rsidR="00FF0F9D">
        <w:t>did not envisage assigning her lease, but it does not follow that s</w:t>
      </w:r>
      <w:r w:rsidR="00294D9D">
        <w:t xml:space="preserve">he did not want the lease to be assignable or that it was not </w:t>
      </w:r>
      <w:r w:rsidR="005E3F5B">
        <w:t>part of the purpose or object of the transaction to produce an assignable lease</w:t>
      </w:r>
      <w:r w:rsidR="00F54867">
        <w:t xml:space="preserve">, let alone that she </w:t>
      </w:r>
      <w:r w:rsidR="00D150C7">
        <w:t xml:space="preserve">did not wish the underlease to be supported by a guarantee from Mr </w:t>
      </w:r>
      <w:proofErr w:type="spellStart"/>
      <w:r w:rsidR="00D150C7">
        <w:t>Ma</w:t>
      </w:r>
      <w:r w:rsidR="00DC5A0F">
        <w:t>l</w:t>
      </w:r>
      <w:r w:rsidR="00D150C7">
        <w:t>ster’s</w:t>
      </w:r>
      <w:proofErr w:type="spellEnd"/>
      <w:r w:rsidR="00D150C7">
        <w:t xml:space="preserve"> parents.</w:t>
      </w:r>
    </w:p>
    <w:p w14:paraId="2E4EF8A8" w14:textId="01AB80B9" w:rsidR="00B0542A" w:rsidRDefault="00B0542A" w:rsidP="00F44548">
      <w:pPr>
        <w:pStyle w:val="ParaLevel1"/>
      </w:pPr>
      <w:r>
        <w:t xml:space="preserve">Secondly, </w:t>
      </w:r>
      <w:r w:rsidR="00B5296E">
        <w:rPr>
          <w:i/>
          <w:iCs/>
        </w:rPr>
        <w:t xml:space="preserve">Shore </w:t>
      </w:r>
      <w:r w:rsidR="00B5296E">
        <w:t>indicates th</w:t>
      </w:r>
      <w:r w:rsidR="00A36310">
        <w:t>at</w:t>
      </w:r>
      <w:r w:rsidR="00AD4F32">
        <w:t xml:space="preserve"> </w:t>
      </w:r>
      <w:r w:rsidR="00B5296E">
        <w:t xml:space="preserve">a claimant </w:t>
      </w:r>
      <w:r w:rsidR="00A36310">
        <w:t xml:space="preserve">can potentially </w:t>
      </w:r>
      <w:r w:rsidR="00B5296E">
        <w:t xml:space="preserve">suffer relevant damage </w:t>
      </w:r>
      <w:r w:rsidR="00AD4F32">
        <w:t xml:space="preserve">as soon as a </w:t>
      </w:r>
      <w:r w:rsidR="00A11598">
        <w:t xml:space="preserve">flawed </w:t>
      </w:r>
      <w:r w:rsidR="00AD4F32">
        <w:t>transaction is en</w:t>
      </w:r>
      <w:r w:rsidR="00A11598">
        <w:t xml:space="preserve">tered into </w:t>
      </w:r>
      <w:r w:rsidR="00B5296E">
        <w:t xml:space="preserve">even </w:t>
      </w:r>
      <w:r w:rsidR="00A11598">
        <w:t>though</w:t>
      </w:r>
      <w:r w:rsidR="00B75BE6">
        <w:t xml:space="preserve"> the </w:t>
      </w:r>
      <w:r w:rsidR="001101F0">
        <w:t>value of th</w:t>
      </w:r>
      <w:r w:rsidR="002F72BF">
        <w:t>at</w:t>
      </w:r>
      <w:r w:rsidR="001101F0">
        <w:t xml:space="preserve"> transaction </w:t>
      </w:r>
      <w:r w:rsidR="00A80B4F">
        <w:t>is</w:t>
      </w:r>
      <w:r w:rsidR="001101F0">
        <w:t xml:space="preserve"> not objectively l</w:t>
      </w:r>
      <w:r w:rsidR="00E92D50">
        <w:t>ower than that of the intended transaction</w:t>
      </w:r>
      <w:r w:rsidR="008F4E4B">
        <w:t>.</w:t>
      </w:r>
      <w:r w:rsidR="00B56E9D">
        <w:t xml:space="preserve"> </w:t>
      </w:r>
      <w:r w:rsidR="00522A93">
        <w:t xml:space="preserve">Where, on the other hand, </w:t>
      </w:r>
      <w:r w:rsidR="0027167D">
        <w:t xml:space="preserve">a flawed transaction is objectively less valuable from the </w:t>
      </w:r>
      <w:r w:rsidR="000B2230">
        <w:t>start</w:t>
      </w:r>
      <w:r w:rsidR="0027167D">
        <w:t xml:space="preserve">, it seems to me that </w:t>
      </w:r>
      <w:r w:rsidR="00941354">
        <w:t>the cause of action</w:t>
      </w:r>
      <w:r w:rsidR="000B2230">
        <w:t xml:space="preserve"> accrues at the outset.</w:t>
      </w:r>
      <w:r w:rsidR="0049269D">
        <w:t xml:space="preserve"> </w:t>
      </w:r>
      <w:r w:rsidR="00A12698">
        <w:t>If</w:t>
      </w:r>
      <w:r w:rsidR="003511C9">
        <w:t xml:space="preserve"> negligence on the part of a solicitor </w:t>
      </w:r>
      <w:r w:rsidR="00FA6428">
        <w:t>served to reduce the market value o</w:t>
      </w:r>
      <w:r w:rsidR="002D091D">
        <w:t>f a</w:t>
      </w:r>
      <w:r w:rsidR="00D151BF">
        <w:t>n</w:t>
      </w:r>
      <w:r w:rsidR="002D091D">
        <w:t xml:space="preserve"> asset, </w:t>
      </w:r>
      <w:r w:rsidR="005418E0">
        <w:t>the claimant cannot,</w:t>
      </w:r>
      <w:r w:rsidR="00D151BF">
        <w:t xml:space="preserve"> in my view, defer the expiry of the limitation period by pointing out that he </w:t>
      </w:r>
      <w:r w:rsidR="00F72C74">
        <w:t>was not intending to sell it.</w:t>
      </w:r>
      <w:r w:rsidR="00A67C5B">
        <w:t xml:space="preserve"> It is one thing to say that someone suffer</w:t>
      </w:r>
      <w:r w:rsidR="00A50803">
        <w:t>ed</w:t>
      </w:r>
      <w:r w:rsidR="00A67C5B">
        <w:t xml:space="preserve"> dam</w:t>
      </w:r>
      <w:r w:rsidR="00194206">
        <w:t xml:space="preserve">age because he did not get what he wanted regardless of whether what he got was objectively as valuable; it is another to say that </w:t>
      </w:r>
      <w:r w:rsidR="00E81CB3">
        <w:t>someone who</w:t>
      </w:r>
      <w:r w:rsidR="00014F81">
        <w:t xml:space="preserve">, looking at matters objectively, has sustained a financial loss has not </w:t>
      </w:r>
      <w:r w:rsidR="008E45FA">
        <w:t xml:space="preserve">yet suffered relevant damage and </w:t>
      </w:r>
      <w:r w:rsidR="00FB39FF">
        <w:t>so could not bring a claim.</w:t>
      </w:r>
      <w:r w:rsidR="00D444B5">
        <w:t xml:space="preserve"> In </w:t>
      </w:r>
      <w:proofErr w:type="spellStart"/>
      <w:r w:rsidR="00D444B5">
        <w:rPr>
          <w:i/>
          <w:iCs/>
        </w:rPr>
        <w:t>Sephton</w:t>
      </w:r>
      <w:proofErr w:type="spellEnd"/>
      <w:r w:rsidR="00D926C7">
        <w:t xml:space="preserve">, </w:t>
      </w:r>
      <w:r w:rsidR="00646FAA">
        <w:t xml:space="preserve">Lord Walker </w:t>
      </w:r>
      <w:r w:rsidR="00CD6E7B">
        <w:t xml:space="preserve">thought the formulation “financially worse off” preferable to </w:t>
      </w:r>
      <w:r w:rsidR="00E51B56">
        <w:t>either “worse off” or “detriment” because “wor</w:t>
      </w:r>
      <w:r w:rsidR="008A5937">
        <w:t>se off” and “detriment”</w:t>
      </w:r>
      <w:r w:rsidR="0058488F">
        <w:t xml:space="preserve"> were</w:t>
      </w:r>
      <w:r w:rsidR="00100612">
        <w:t xml:space="preserve"> “imprecise”: see paragraph 43. Where a claimant can be seen to be “financially worse off”, </w:t>
      </w:r>
      <w:r w:rsidR="00DC47B2">
        <w:t xml:space="preserve">because an asset has a lower market value, </w:t>
      </w:r>
      <w:r w:rsidR="00E3399E">
        <w:t>relevant damage will</w:t>
      </w:r>
      <w:r w:rsidR="00483F60">
        <w:t xml:space="preserve">, I think, have been suffered whatever the claimant was intending to do with </w:t>
      </w:r>
      <w:r w:rsidR="00DC47B2">
        <w:t>the asset.</w:t>
      </w:r>
    </w:p>
    <w:p w14:paraId="79A62628" w14:textId="56D0CE0C" w:rsidR="00FC1E74" w:rsidRDefault="00B54618" w:rsidP="00F44548">
      <w:pPr>
        <w:pStyle w:val="ParaLevel1"/>
      </w:pPr>
      <w:r>
        <w:t xml:space="preserve">In the circumstances, I am in no doubt that </w:t>
      </w:r>
      <w:proofErr w:type="spellStart"/>
      <w:r w:rsidR="00E44B57">
        <w:t>Hattens</w:t>
      </w:r>
      <w:proofErr w:type="spellEnd"/>
      <w:r w:rsidR="00E44B57">
        <w:t xml:space="preserve">’ failure to ensure that </w:t>
      </w:r>
      <w:r w:rsidR="00E9212C">
        <w:t xml:space="preserve">Mr </w:t>
      </w:r>
      <w:proofErr w:type="spellStart"/>
      <w:r w:rsidR="00E9212C">
        <w:t>Ma</w:t>
      </w:r>
      <w:r w:rsidR="00DC5A0F">
        <w:t>l</w:t>
      </w:r>
      <w:r w:rsidR="00E9212C">
        <w:t>ster’s</w:t>
      </w:r>
      <w:proofErr w:type="spellEnd"/>
      <w:r w:rsidR="00E9212C">
        <w:t xml:space="preserve"> parents were guarantors caused </w:t>
      </w:r>
      <w:r w:rsidR="00141737">
        <w:t>Mrs Elliott damage as soon as the lease and underlease were entered into</w:t>
      </w:r>
      <w:r w:rsidR="000C782E">
        <w:t xml:space="preserve"> and, hence, that her </w:t>
      </w:r>
      <w:r w:rsidR="00DF147F">
        <w:t>cause of action accrued at that point and is now statute-barred.</w:t>
      </w:r>
    </w:p>
    <w:p w14:paraId="13664D83" w14:textId="3EC99409" w:rsidR="001E149B" w:rsidRDefault="00893ECF" w:rsidP="00F44548">
      <w:pPr>
        <w:pStyle w:val="ParaLevel1"/>
      </w:pPr>
      <w:r>
        <w:t xml:space="preserve">I have considered whether the position is different </w:t>
      </w:r>
      <w:r w:rsidR="00E23C8B">
        <w:t xml:space="preserve">as regards </w:t>
      </w:r>
      <w:proofErr w:type="spellStart"/>
      <w:r w:rsidR="00931122">
        <w:t>Hattens</w:t>
      </w:r>
      <w:proofErr w:type="spellEnd"/>
      <w:r w:rsidR="00931122">
        <w:t xml:space="preserve">’ failure to </w:t>
      </w:r>
      <w:r w:rsidR="00504FB6">
        <w:t>advise Mrs Elliott to insure the premises.</w:t>
      </w:r>
      <w:r w:rsidR="00AE4C1E">
        <w:t xml:space="preserve"> An argument to this effect</w:t>
      </w:r>
      <w:r w:rsidR="001D59FC">
        <w:t xml:space="preserve"> </w:t>
      </w:r>
      <w:r w:rsidR="00ED4917">
        <w:t>would</w:t>
      </w:r>
      <w:r w:rsidR="009D023E">
        <w:t xml:space="preserve"> </w:t>
      </w:r>
      <w:r w:rsidR="005D5D4B">
        <w:t>proceed on the basis tha</w:t>
      </w:r>
      <w:r w:rsidR="000118EE">
        <w:t xml:space="preserve">t, </w:t>
      </w:r>
      <w:r w:rsidR="000D4B13">
        <w:t>until the fire</w:t>
      </w:r>
      <w:r w:rsidR="000118EE">
        <w:t xml:space="preserve">, the deficiency could have been remedied easily. </w:t>
      </w:r>
      <w:r w:rsidR="004E4857">
        <w:t xml:space="preserve">While </w:t>
      </w:r>
      <w:r w:rsidR="005F650C">
        <w:t xml:space="preserve">Mrs Elliott’s failure to insure </w:t>
      </w:r>
      <w:r w:rsidR="00510F40">
        <w:t>might theoretically have rendered her lease vulnerable to forfeiture, there was</w:t>
      </w:r>
      <w:r w:rsidR="00285F2E">
        <w:t xml:space="preserve"> </w:t>
      </w:r>
      <w:r w:rsidR="00510F40">
        <w:t xml:space="preserve">no real possibility of </w:t>
      </w:r>
      <w:r w:rsidR="00C85DF9">
        <w:t>the landlord, her husband, seeking to take that course</w:t>
      </w:r>
      <w:r w:rsidR="000D4B13">
        <w:t>,</w:t>
      </w:r>
      <w:r w:rsidR="00285F2E">
        <w:t xml:space="preserve"> no</w:t>
      </w:r>
      <w:r w:rsidR="00CB3CF9">
        <w:t>r any</w:t>
      </w:r>
      <w:r w:rsidR="00285F2E">
        <w:t xml:space="preserve"> reason to believe</w:t>
      </w:r>
      <w:r w:rsidR="00127D7B">
        <w:t xml:space="preserve"> </w:t>
      </w:r>
      <w:r w:rsidR="00CB3CF9">
        <w:t xml:space="preserve">that insurance would have cost more </w:t>
      </w:r>
      <w:proofErr w:type="spellStart"/>
      <w:r w:rsidR="00CB3CF9">
        <w:t>then</w:t>
      </w:r>
      <w:proofErr w:type="spellEnd"/>
      <w:r w:rsidR="00CB3CF9">
        <w:t xml:space="preserve"> than it would have done if taken out </w:t>
      </w:r>
      <w:r w:rsidR="00E8438E">
        <w:t>when</w:t>
      </w:r>
      <w:r w:rsidR="00F65524">
        <w:t xml:space="preserve"> the lease and underlease were</w:t>
      </w:r>
      <w:r w:rsidR="00E8438E">
        <w:t xml:space="preserve"> first</w:t>
      </w:r>
      <w:r w:rsidR="00F65524">
        <w:t xml:space="preserve"> executed.</w:t>
      </w:r>
    </w:p>
    <w:p w14:paraId="5640EF04" w14:textId="371F7D89" w:rsidR="00E8438E" w:rsidRDefault="00903F71" w:rsidP="00F44548">
      <w:pPr>
        <w:pStyle w:val="ParaLevel1"/>
      </w:pPr>
      <w:r>
        <w:t xml:space="preserve">However, </w:t>
      </w:r>
      <w:r w:rsidR="000905A2">
        <w:t xml:space="preserve">Mr Crowley did not </w:t>
      </w:r>
      <w:r w:rsidR="0008370A">
        <w:t>present his case on this basis.</w:t>
      </w:r>
      <w:r w:rsidR="00051EE2">
        <w:t xml:space="preserve"> He did not suggest in his skeleton argument for the appeal that </w:t>
      </w:r>
      <w:r w:rsidR="00876C6A">
        <w:t xml:space="preserve">any distinction could be drawn between the absence of </w:t>
      </w:r>
      <w:r w:rsidR="00FE3A24">
        <w:t>insurance advice and the want of guar</w:t>
      </w:r>
      <w:r w:rsidR="002C3A4D">
        <w:t>antors.</w:t>
      </w:r>
      <w:r w:rsidR="00CA2057">
        <w:t xml:space="preserve"> Nor, so far as I can see, </w:t>
      </w:r>
      <w:r w:rsidR="007E0F96">
        <w:t xml:space="preserve">did </w:t>
      </w:r>
      <w:r w:rsidR="00BB08A3">
        <w:t>he</w:t>
      </w:r>
      <w:r w:rsidR="007E0F96">
        <w:t xml:space="preserve"> put matters that way </w:t>
      </w:r>
      <w:r w:rsidR="003B1710">
        <w:t>before the Judge and, although th</w:t>
      </w:r>
      <w:r w:rsidR="00202898">
        <w:t>at hearing</w:t>
      </w:r>
      <w:r w:rsidR="003B1710">
        <w:t xml:space="preserve"> involved the trial of a preliminary issue rather than merely an application to strike out or for summary judgment, no evidence was adduced as to the </w:t>
      </w:r>
      <w:r w:rsidR="00C855E6">
        <w:t xml:space="preserve">unlikelihood of the right to forfeit being exercised or </w:t>
      </w:r>
      <w:r w:rsidR="00466025">
        <w:t>Mrs Elliott’s ability to solve the problem without incurring additional expense.</w:t>
      </w:r>
    </w:p>
    <w:p w14:paraId="77860E99" w14:textId="52E54F17" w:rsidR="0033119A" w:rsidRDefault="00E00D92" w:rsidP="00F44548">
      <w:pPr>
        <w:pStyle w:val="ParaLevel1"/>
      </w:pPr>
      <w:r>
        <w:t xml:space="preserve">In any </w:t>
      </w:r>
      <w:r w:rsidR="00DB1275">
        <w:t>event</w:t>
      </w:r>
      <w:r>
        <w:t xml:space="preserve">, </w:t>
      </w:r>
      <w:r w:rsidR="00507A39">
        <w:t xml:space="preserve">what Mrs Elliott plainly wanted </w:t>
      </w:r>
      <w:proofErr w:type="spellStart"/>
      <w:r w:rsidR="0076211E">
        <w:t>Hattens</w:t>
      </w:r>
      <w:proofErr w:type="spellEnd"/>
      <w:r w:rsidR="0076211E">
        <w:t xml:space="preserve"> to achieve for her was a package </w:t>
      </w:r>
      <w:r w:rsidR="00363137">
        <w:t xml:space="preserve">comprising </w:t>
      </w:r>
      <w:r w:rsidR="00660C2F">
        <w:t xml:space="preserve">a lease and underlease </w:t>
      </w:r>
      <w:r w:rsidR="005A015E">
        <w:t xml:space="preserve">which </w:t>
      </w:r>
      <w:r w:rsidR="00D468D0">
        <w:t xml:space="preserve">were fully effective. </w:t>
      </w:r>
      <w:r w:rsidR="00D85210">
        <w:t>O</w:t>
      </w:r>
      <w:r w:rsidR="00967E4F">
        <w:t xml:space="preserve">n </w:t>
      </w:r>
      <w:r w:rsidR="00DB1275">
        <w:t>Mrs Elliott’s case</w:t>
      </w:r>
      <w:r w:rsidR="00D85210">
        <w:t>, however</w:t>
      </w:r>
      <w:r w:rsidR="00EF79F6">
        <w:t>,</w:t>
      </w:r>
      <w:r w:rsidR="00DB1275">
        <w:t xml:space="preserve"> </w:t>
      </w:r>
      <w:proofErr w:type="spellStart"/>
      <w:r w:rsidR="00DB1275">
        <w:t>Hattens</w:t>
      </w:r>
      <w:proofErr w:type="spellEnd"/>
      <w:r w:rsidR="00DB1275">
        <w:t xml:space="preserve">’ failure to advise her of the need to </w:t>
      </w:r>
      <w:r w:rsidR="00CD75D4">
        <w:t>i</w:t>
      </w:r>
      <w:r w:rsidR="00DB1275">
        <w:t xml:space="preserve">nsure put her in breach of her obligations </w:t>
      </w:r>
      <w:r w:rsidR="000A5001">
        <w:t xml:space="preserve">under </w:t>
      </w:r>
      <w:r w:rsidR="00EF79F6">
        <w:t xml:space="preserve">both </w:t>
      </w:r>
      <w:r w:rsidR="000A5001">
        <w:t xml:space="preserve">the underlease </w:t>
      </w:r>
      <w:r w:rsidR="00EF79F6">
        <w:t xml:space="preserve">and lease </w:t>
      </w:r>
      <w:r w:rsidR="000A5001">
        <w:t>and provided a ground for forfeiting the l</w:t>
      </w:r>
      <w:r w:rsidR="00EF79F6">
        <w:t>atter</w:t>
      </w:r>
      <w:r w:rsidR="000A5001">
        <w:t xml:space="preserve">. </w:t>
      </w:r>
      <w:r w:rsidR="00114DBC">
        <w:t>Mrs Elliott was th</w:t>
      </w:r>
      <w:r w:rsidR="00FD2B82">
        <w:t>us exposed to a risk</w:t>
      </w:r>
      <w:r w:rsidR="005410AC">
        <w:t xml:space="preserve"> which, there being no evidence as to, for example, her </w:t>
      </w:r>
      <w:r w:rsidR="00341ECA">
        <w:t>relationship with her husband</w:t>
      </w:r>
      <w:r w:rsidR="00DD17DF">
        <w:t xml:space="preserve"> or the chances of his transferring the freehold, cannot be</w:t>
      </w:r>
      <w:r w:rsidR="00236DEA">
        <w:t xml:space="preserve"> dismissed</w:t>
      </w:r>
      <w:r w:rsidR="00DE0702">
        <w:t xml:space="preserve"> as negligible</w:t>
      </w:r>
      <w:r w:rsidR="00236DEA">
        <w:t xml:space="preserve">, the more so since </w:t>
      </w:r>
      <w:r w:rsidR="00685E99">
        <w:t>Mrs Elliott stood to remain in ignorance of the relevant provisions of the lease and underlease</w:t>
      </w:r>
      <w:r w:rsidR="00E75DFC">
        <w:t>.</w:t>
      </w:r>
      <w:r w:rsidR="00F93A7F">
        <w:t xml:space="preserve"> Further, </w:t>
      </w:r>
      <w:r w:rsidR="001B0BD0">
        <w:t xml:space="preserve">it was foreseeable that, </w:t>
      </w:r>
      <w:r w:rsidR="00D27DEF">
        <w:t xml:space="preserve">were an attempt to be made to forfeit the lease, Mrs Elliott </w:t>
      </w:r>
      <w:r w:rsidR="00C57F27">
        <w:t xml:space="preserve">would </w:t>
      </w:r>
      <w:r w:rsidR="00D27DEF">
        <w:t xml:space="preserve">have to incur expense in </w:t>
      </w:r>
      <w:r w:rsidR="003C7728">
        <w:t xml:space="preserve">connection with it even if </w:t>
      </w:r>
      <w:r w:rsidR="004A6EB2">
        <w:t>she ultimately retained the lease.</w:t>
      </w:r>
    </w:p>
    <w:p w14:paraId="6FBB67E9" w14:textId="1B3072EE" w:rsidR="00A94CB8" w:rsidRDefault="005B1363" w:rsidP="00F44548">
      <w:pPr>
        <w:pStyle w:val="ParaLevel1"/>
      </w:pPr>
      <w:r>
        <w:t xml:space="preserve">As Dyson LJ noted in </w:t>
      </w:r>
      <w:r>
        <w:rPr>
          <w:i/>
          <w:iCs/>
        </w:rPr>
        <w:t>Shore</w:t>
      </w:r>
      <w:r>
        <w:t xml:space="preserve">, </w:t>
      </w:r>
      <w:r w:rsidR="00DD3143">
        <w:t xml:space="preserve">cases such as </w:t>
      </w:r>
      <w:r w:rsidR="00DD3143">
        <w:rPr>
          <w:i/>
          <w:iCs/>
        </w:rPr>
        <w:t xml:space="preserve">Bell </w:t>
      </w:r>
      <w:r w:rsidR="00D07B67">
        <w:t>proceeded on the basis that “the possibility of actual financial har</w:t>
      </w:r>
      <w:r w:rsidR="00006C12">
        <w:t>m … constitutes the loss”.</w:t>
      </w:r>
      <w:r w:rsidR="00AB6700">
        <w:t xml:space="preserve"> In </w:t>
      </w:r>
      <w:r w:rsidR="00AB6700">
        <w:rPr>
          <w:i/>
          <w:iCs/>
        </w:rPr>
        <w:t>Knapp</w:t>
      </w:r>
      <w:r w:rsidR="00AB6700">
        <w:t>, Hobhouse LJ</w:t>
      </w:r>
      <w:r w:rsidR="00F868B7">
        <w:t xml:space="preserve"> held that </w:t>
      </w:r>
      <w:r w:rsidR="00335BA4">
        <w:t>the plaint</w:t>
      </w:r>
      <w:r w:rsidR="00A428B4">
        <w:t>iffs “suffered loss as soon as they received an insurance contract which was not binding upon the insurers</w:t>
      </w:r>
      <w:r w:rsidR="00F51919">
        <w:t xml:space="preserve">”, going on to observe that the Court could </w:t>
      </w:r>
      <w:r w:rsidR="005C3E89">
        <w:t xml:space="preserve">if necessary have put a monetary value on the loss </w:t>
      </w:r>
      <w:r w:rsidR="00B40087">
        <w:t>“</w:t>
      </w:r>
      <w:proofErr w:type="spellStart"/>
      <w:r w:rsidR="00B40087">
        <w:t>exclud</w:t>
      </w:r>
      <w:proofErr w:type="spellEnd"/>
      <w:r w:rsidR="00B40087">
        <w:t>[</w:t>
      </w:r>
      <w:proofErr w:type="spellStart"/>
      <w:r w:rsidR="00B40087">
        <w:t>ing</w:t>
      </w:r>
      <w:proofErr w:type="spellEnd"/>
      <w:r w:rsidR="00B40087">
        <w:t xml:space="preserve">] the possibility at that time of remedying the deficiency because the plaintiffs were in fact unaware </w:t>
      </w:r>
      <w:r w:rsidR="00153918">
        <w:t>of it and their state of knowledge arose from the breach of duty”.</w:t>
      </w:r>
      <w:r w:rsidR="003E3934">
        <w:t xml:space="preserve"> In a similar way, </w:t>
      </w:r>
      <w:r w:rsidR="00FE0CE4">
        <w:t xml:space="preserve">a valuer asked to value Mrs Elliott’s lease </w:t>
      </w:r>
      <w:r w:rsidR="0068579B">
        <w:t xml:space="preserve">as at the date of its grant on the footing that </w:t>
      </w:r>
      <w:r w:rsidR="00536956">
        <w:t>she</w:t>
      </w:r>
      <w:r w:rsidR="0068579B">
        <w:t xml:space="preserve"> would not be complying with her insurance obligations </w:t>
      </w:r>
      <w:r w:rsidR="00B5600A">
        <w:t xml:space="preserve">could be expected to arrive at a lower figure </w:t>
      </w:r>
      <w:r w:rsidR="00AE2523">
        <w:t>on that account.</w:t>
      </w:r>
    </w:p>
    <w:p w14:paraId="7491D7E3" w14:textId="20408022" w:rsidR="0095774E" w:rsidRDefault="00A96CAD" w:rsidP="00F44548">
      <w:pPr>
        <w:pStyle w:val="ParaLevel1"/>
      </w:pPr>
      <w:r>
        <w:t xml:space="preserve">The upshot is that I do not think </w:t>
      </w:r>
      <w:r w:rsidR="006018BF">
        <w:t xml:space="preserve">that </w:t>
      </w:r>
      <w:r w:rsidR="00B778B9">
        <w:t xml:space="preserve">the failure to give advice </w:t>
      </w:r>
      <w:r w:rsidR="00536956">
        <w:t xml:space="preserve">as to the need to insure </w:t>
      </w:r>
      <w:r w:rsidR="00A512DC">
        <w:t xml:space="preserve">falls to be treated any differently from the failure to ensure that Mr </w:t>
      </w:r>
      <w:proofErr w:type="spellStart"/>
      <w:r w:rsidR="00A512DC">
        <w:t>Ma</w:t>
      </w:r>
      <w:r w:rsidR="00DC5A0F">
        <w:t>l</w:t>
      </w:r>
      <w:r w:rsidR="00A512DC">
        <w:t>ster’s</w:t>
      </w:r>
      <w:proofErr w:type="spellEnd"/>
      <w:r w:rsidR="00A512DC">
        <w:t xml:space="preserve"> parents </w:t>
      </w:r>
      <w:r w:rsidR="00ED093B">
        <w:t>became guarantors. I respec</w:t>
      </w:r>
      <w:r w:rsidR="004D1015">
        <w:t xml:space="preserve">tfully differ from the Judge and </w:t>
      </w:r>
      <w:r w:rsidR="007016F1">
        <w:t>would hold Mrs Elliott’s claim to be statute-barred in its entirety.</w:t>
      </w:r>
    </w:p>
    <w:p w14:paraId="0C8877B8" w14:textId="529FE50E" w:rsidR="00D56D32" w:rsidRPr="001D1894" w:rsidRDefault="00B40529" w:rsidP="00F44548">
      <w:pPr>
        <w:pStyle w:val="ParaLevel1"/>
      </w:pPr>
      <w:r>
        <w:t>I would allow the appeal</w:t>
      </w:r>
      <w:r w:rsidR="002C3194">
        <w:t>.</w:t>
      </w:r>
    </w:p>
    <w:p w14:paraId="12234036" w14:textId="3B913BC0" w:rsidR="00070CC6" w:rsidRPr="00070CC6" w:rsidRDefault="00070CC6" w:rsidP="00F44548">
      <w:pPr>
        <w:pStyle w:val="ParaLevel1"/>
        <w:numPr>
          <w:ilvl w:val="0"/>
          <w:numId w:val="0"/>
        </w:numPr>
        <w:rPr>
          <w:b/>
          <w:bCs/>
        </w:rPr>
      </w:pPr>
      <w:r>
        <w:rPr>
          <w:b/>
          <w:bCs/>
        </w:rPr>
        <w:t>Lady Justice Asplin:</w:t>
      </w:r>
    </w:p>
    <w:p w14:paraId="76296F0F" w14:textId="23A8E10B" w:rsidR="00070CC6" w:rsidRDefault="00B75370" w:rsidP="00F44548">
      <w:pPr>
        <w:pStyle w:val="ParaLevel1"/>
      </w:pPr>
      <w:r>
        <w:rPr>
          <w:i/>
          <w:iCs/>
        </w:rPr>
        <w:t xml:space="preserve"> </w:t>
      </w:r>
      <w:r>
        <w:t>I agree.</w:t>
      </w:r>
    </w:p>
    <w:p w14:paraId="27E01AA2" w14:textId="51EB498E" w:rsidR="00070CC6" w:rsidRPr="00070CC6" w:rsidRDefault="00070CC6" w:rsidP="00F44548">
      <w:pPr>
        <w:pStyle w:val="ParaLevel1"/>
        <w:numPr>
          <w:ilvl w:val="0"/>
          <w:numId w:val="0"/>
        </w:numPr>
        <w:rPr>
          <w:b/>
          <w:bCs/>
        </w:rPr>
      </w:pPr>
      <w:r>
        <w:rPr>
          <w:b/>
          <w:bCs/>
        </w:rPr>
        <w:t xml:space="preserve">Lord Justice </w:t>
      </w:r>
      <w:r w:rsidR="006F5008">
        <w:rPr>
          <w:b/>
          <w:bCs/>
        </w:rPr>
        <w:t>Stuart-Smith:</w:t>
      </w:r>
    </w:p>
    <w:p w14:paraId="235B17B0" w14:textId="2109A60C" w:rsidR="00070CC6" w:rsidRDefault="00D85B92" w:rsidP="00F44548">
      <w:pPr>
        <w:pStyle w:val="ParaLevel1"/>
      </w:pPr>
      <w:r>
        <w:t>I also agree.</w:t>
      </w:r>
    </w:p>
    <w:sectPr w:rsidR="00070CC6" w:rsidSect="00F4454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1BC9" w14:textId="77777777" w:rsidR="00EC4E76" w:rsidRDefault="00EC4E76">
      <w:r>
        <w:separator/>
      </w:r>
    </w:p>
  </w:endnote>
  <w:endnote w:type="continuationSeparator" w:id="0">
    <w:p w14:paraId="2795DB94" w14:textId="77777777" w:rsidR="00EC4E76" w:rsidRDefault="00EC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87CA" w14:textId="77777777" w:rsidR="00F44548" w:rsidRDefault="00F44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D8A2"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0412" w14:textId="77777777" w:rsidR="00F44548" w:rsidRDefault="00F44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D5D0" w14:textId="77777777" w:rsidR="00C439A3" w:rsidRPr="00F44548" w:rsidRDefault="00C439A3" w:rsidP="00F44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0306" w14:textId="77777777" w:rsidR="00EC4E76" w:rsidRDefault="00EC4E76">
      <w:r>
        <w:separator/>
      </w:r>
    </w:p>
  </w:footnote>
  <w:footnote w:type="continuationSeparator" w:id="0">
    <w:p w14:paraId="4B6927C7" w14:textId="77777777" w:rsidR="00EC4E76" w:rsidRDefault="00EC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0DE2" w14:textId="77777777" w:rsidR="00F44548" w:rsidRDefault="00F44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6C87" w14:textId="77777777" w:rsidR="00F44548" w:rsidRDefault="00F44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F384" w14:textId="77777777" w:rsidR="00F44548" w:rsidRDefault="00F44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622"/>
      <w:gridCol w:w="4622"/>
    </w:tblGrid>
    <w:tr w:rsidR="00C439A3" w14:paraId="3DA03DD4" w14:textId="77777777">
      <w:tc>
        <w:tcPr>
          <w:tcW w:w="4622" w:type="dxa"/>
        </w:tcPr>
        <w:p w14:paraId="4A3DDDB4" w14:textId="64F21595" w:rsidR="00C439A3" w:rsidRPr="00F44548" w:rsidRDefault="00F44548">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426F29B8" w14:textId="6A404081" w:rsidR="00C439A3" w:rsidRDefault="006F5008">
          <w:pPr>
            <w:pStyle w:val="Header"/>
            <w:jc w:val="right"/>
            <w:rPr>
              <w:rFonts w:ascii="Times New Roman" w:hAnsi="Times New Roman"/>
              <w:sz w:val="16"/>
            </w:rPr>
          </w:pPr>
          <w:r>
            <w:rPr>
              <w:rFonts w:ascii="Times New Roman" w:hAnsi="Times New Roman"/>
              <w:sz w:val="16"/>
            </w:rPr>
            <w:t xml:space="preserve">Elliott v </w:t>
          </w:r>
          <w:r>
            <w:rPr>
              <w:rFonts w:ascii="Times New Roman" w:hAnsi="Times New Roman"/>
              <w:sz w:val="16"/>
            </w:rPr>
            <w:t>Hattens Solicitors</w:t>
          </w:r>
        </w:p>
      </w:tc>
    </w:tr>
  </w:tbl>
  <w:p w14:paraId="4770BA84"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50842DBB"/>
    <w:multiLevelType w:val="multilevel"/>
    <w:tmpl w:val="4748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C6"/>
    <w:rsid w:val="0000386B"/>
    <w:rsid w:val="00006C12"/>
    <w:rsid w:val="000118EE"/>
    <w:rsid w:val="00014F38"/>
    <w:rsid w:val="00014F81"/>
    <w:rsid w:val="000155FE"/>
    <w:rsid w:val="00020EA4"/>
    <w:rsid w:val="00023717"/>
    <w:rsid w:val="000279DA"/>
    <w:rsid w:val="00043406"/>
    <w:rsid w:val="000464CE"/>
    <w:rsid w:val="00051EE2"/>
    <w:rsid w:val="00054E5B"/>
    <w:rsid w:val="000604A8"/>
    <w:rsid w:val="0006201A"/>
    <w:rsid w:val="00064E38"/>
    <w:rsid w:val="00070597"/>
    <w:rsid w:val="00070CC6"/>
    <w:rsid w:val="0008085E"/>
    <w:rsid w:val="00083122"/>
    <w:rsid w:val="0008370A"/>
    <w:rsid w:val="0008392C"/>
    <w:rsid w:val="000905A2"/>
    <w:rsid w:val="00094F44"/>
    <w:rsid w:val="00094FA0"/>
    <w:rsid w:val="000A2866"/>
    <w:rsid w:val="000A44C0"/>
    <w:rsid w:val="000A5001"/>
    <w:rsid w:val="000B2230"/>
    <w:rsid w:val="000B385E"/>
    <w:rsid w:val="000B4476"/>
    <w:rsid w:val="000C1175"/>
    <w:rsid w:val="000C2811"/>
    <w:rsid w:val="000C3D72"/>
    <w:rsid w:val="000C5F1E"/>
    <w:rsid w:val="000C776D"/>
    <w:rsid w:val="000C782E"/>
    <w:rsid w:val="000D1CC1"/>
    <w:rsid w:val="000D3076"/>
    <w:rsid w:val="000D4B13"/>
    <w:rsid w:val="000D703F"/>
    <w:rsid w:val="000D7B07"/>
    <w:rsid w:val="000D7CF1"/>
    <w:rsid w:val="000E00EF"/>
    <w:rsid w:val="000E56FA"/>
    <w:rsid w:val="000F0138"/>
    <w:rsid w:val="000F2FAB"/>
    <w:rsid w:val="00100612"/>
    <w:rsid w:val="001049BF"/>
    <w:rsid w:val="0010623E"/>
    <w:rsid w:val="001101F0"/>
    <w:rsid w:val="00110F4E"/>
    <w:rsid w:val="00114DBC"/>
    <w:rsid w:val="00122810"/>
    <w:rsid w:val="00127D7B"/>
    <w:rsid w:val="001304BD"/>
    <w:rsid w:val="00132518"/>
    <w:rsid w:val="0013734A"/>
    <w:rsid w:val="00141737"/>
    <w:rsid w:val="001423E3"/>
    <w:rsid w:val="001433EF"/>
    <w:rsid w:val="001516B9"/>
    <w:rsid w:val="00153459"/>
    <w:rsid w:val="00153918"/>
    <w:rsid w:val="0015404F"/>
    <w:rsid w:val="001549DE"/>
    <w:rsid w:val="00155B8E"/>
    <w:rsid w:val="00156561"/>
    <w:rsid w:val="00157EE0"/>
    <w:rsid w:val="0016172E"/>
    <w:rsid w:val="00167F47"/>
    <w:rsid w:val="00171D9F"/>
    <w:rsid w:val="00174D1B"/>
    <w:rsid w:val="00176243"/>
    <w:rsid w:val="00182C27"/>
    <w:rsid w:val="00194206"/>
    <w:rsid w:val="0019596A"/>
    <w:rsid w:val="0019628A"/>
    <w:rsid w:val="00197F42"/>
    <w:rsid w:val="001A1685"/>
    <w:rsid w:val="001A21BE"/>
    <w:rsid w:val="001A3932"/>
    <w:rsid w:val="001A65B4"/>
    <w:rsid w:val="001B0BD0"/>
    <w:rsid w:val="001C6E18"/>
    <w:rsid w:val="001D1894"/>
    <w:rsid w:val="001D35D6"/>
    <w:rsid w:val="001D3876"/>
    <w:rsid w:val="001D4185"/>
    <w:rsid w:val="001D59FC"/>
    <w:rsid w:val="001D7327"/>
    <w:rsid w:val="001E149B"/>
    <w:rsid w:val="001E3A24"/>
    <w:rsid w:val="001E4098"/>
    <w:rsid w:val="001F05AE"/>
    <w:rsid w:val="001F4662"/>
    <w:rsid w:val="001F4F82"/>
    <w:rsid w:val="001F7D13"/>
    <w:rsid w:val="00200673"/>
    <w:rsid w:val="00202898"/>
    <w:rsid w:val="0020306E"/>
    <w:rsid w:val="0020494A"/>
    <w:rsid w:val="00204EFF"/>
    <w:rsid w:val="0020539A"/>
    <w:rsid w:val="002121EF"/>
    <w:rsid w:val="002136C3"/>
    <w:rsid w:val="002216B1"/>
    <w:rsid w:val="002220CD"/>
    <w:rsid w:val="00224879"/>
    <w:rsid w:val="00225549"/>
    <w:rsid w:val="0023086C"/>
    <w:rsid w:val="00230CA3"/>
    <w:rsid w:val="00230F25"/>
    <w:rsid w:val="00232939"/>
    <w:rsid w:val="002331DB"/>
    <w:rsid w:val="002361EE"/>
    <w:rsid w:val="00236DEA"/>
    <w:rsid w:val="00240B42"/>
    <w:rsid w:val="0024148F"/>
    <w:rsid w:val="00244583"/>
    <w:rsid w:val="00251A8B"/>
    <w:rsid w:val="0025205E"/>
    <w:rsid w:val="002675E2"/>
    <w:rsid w:val="0027167D"/>
    <w:rsid w:val="002739B4"/>
    <w:rsid w:val="00273A45"/>
    <w:rsid w:val="00274BC5"/>
    <w:rsid w:val="002805D7"/>
    <w:rsid w:val="0028145C"/>
    <w:rsid w:val="00285F2E"/>
    <w:rsid w:val="00290205"/>
    <w:rsid w:val="00294D9D"/>
    <w:rsid w:val="00297A8C"/>
    <w:rsid w:val="002A00C6"/>
    <w:rsid w:val="002A40B6"/>
    <w:rsid w:val="002A59C4"/>
    <w:rsid w:val="002B07FE"/>
    <w:rsid w:val="002B0C14"/>
    <w:rsid w:val="002B11AE"/>
    <w:rsid w:val="002B1E75"/>
    <w:rsid w:val="002B2B23"/>
    <w:rsid w:val="002C3194"/>
    <w:rsid w:val="002C3A4D"/>
    <w:rsid w:val="002C4A8B"/>
    <w:rsid w:val="002C4B9B"/>
    <w:rsid w:val="002D091D"/>
    <w:rsid w:val="002D17FE"/>
    <w:rsid w:val="002D2DB1"/>
    <w:rsid w:val="002D51CA"/>
    <w:rsid w:val="002E2BD7"/>
    <w:rsid w:val="002E32D8"/>
    <w:rsid w:val="002E469A"/>
    <w:rsid w:val="002E7183"/>
    <w:rsid w:val="002F2DE4"/>
    <w:rsid w:val="002F4771"/>
    <w:rsid w:val="002F4A4E"/>
    <w:rsid w:val="002F4B81"/>
    <w:rsid w:val="002F58D0"/>
    <w:rsid w:val="002F6BF3"/>
    <w:rsid w:val="002F72BF"/>
    <w:rsid w:val="00302436"/>
    <w:rsid w:val="00303D54"/>
    <w:rsid w:val="003073BD"/>
    <w:rsid w:val="00317326"/>
    <w:rsid w:val="0032328E"/>
    <w:rsid w:val="00327D15"/>
    <w:rsid w:val="00327DEE"/>
    <w:rsid w:val="00330252"/>
    <w:rsid w:val="0033119A"/>
    <w:rsid w:val="00331C4D"/>
    <w:rsid w:val="0033342F"/>
    <w:rsid w:val="00335BA4"/>
    <w:rsid w:val="00341ECA"/>
    <w:rsid w:val="0034218E"/>
    <w:rsid w:val="0035064A"/>
    <w:rsid w:val="003511C9"/>
    <w:rsid w:val="003542E4"/>
    <w:rsid w:val="00356150"/>
    <w:rsid w:val="003630CF"/>
    <w:rsid w:val="00363137"/>
    <w:rsid w:val="00381A2F"/>
    <w:rsid w:val="00385D73"/>
    <w:rsid w:val="00391465"/>
    <w:rsid w:val="003967D3"/>
    <w:rsid w:val="003A0ACA"/>
    <w:rsid w:val="003A206E"/>
    <w:rsid w:val="003A59D7"/>
    <w:rsid w:val="003A6F2A"/>
    <w:rsid w:val="003B1710"/>
    <w:rsid w:val="003B17B6"/>
    <w:rsid w:val="003C6789"/>
    <w:rsid w:val="003C7728"/>
    <w:rsid w:val="003D2A97"/>
    <w:rsid w:val="003E3934"/>
    <w:rsid w:val="003E791B"/>
    <w:rsid w:val="003F1856"/>
    <w:rsid w:val="003F3409"/>
    <w:rsid w:val="003F3E85"/>
    <w:rsid w:val="0040190B"/>
    <w:rsid w:val="00402557"/>
    <w:rsid w:val="00404057"/>
    <w:rsid w:val="00407F71"/>
    <w:rsid w:val="004146C3"/>
    <w:rsid w:val="0041519C"/>
    <w:rsid w:val="00421109"/>
    <w:rsid w:val="00424E1A"/>
    <w:rsid w:val="00425C8B"/>
    <w:rsid w:val="0043000E"/>
    <w:rsid w:val="004301C4"/>
    <w:rsid w:val="00433928"/>
    <w:rsid w:val="004447DD"/>
    <w:rsid w:val="00444E75"/>
    <w:rsid w:val="00452D22"/>
    <w:rsid w:val="00452EAE"/>
    <w:rsid w:val="00461235"/>
    <w:rsid w:val="0046186A"/>
    <w:rsid w:val="00463589"/>
    <w:rsid w:val="00465983"/>
    <w:rsid w:val="00466025"/>
    <w:rsid w:val="00467450"/>
    <w:rsid w:val="00471A42"/>
    <w:rsid w:val="00472A9A"/>
    <w:rsid w:val="0047343A"/>
    <w:rsid w:val="00475850"/>
    <w:rsid w:val="00475899"/>
    <w:rsid w:val="00483DA0"/>
    <w:rsid w:val="00483F60"/>
    <w:rsid w:val="00484781"/>
    <w:rsid w:val="0048738C"/>
    <w:rsid w:val="0049269D"/>
    <w:rsid w:val="00494827"/>
    <w:rsid w:val="00494B2C"/>
    <w:rsid w:val="0049638C"/>
    <w:rsid w:val="0049715F"/>
    <w:rsid w:val="0049729D"/>
    <w:rsid w:val="004A097B"/>
    <w:rsid w:val="004A30F1"/>
    <w:rsid w:val="004A6EB2"/>
    <w:rsid w:val="004B0BBC"/>
    <w:rsid w:val="004B3BAF"/>
    <w:rsid w:val="004B5D21"/>
    <w:rsid w:val="004B73BF"/>
    <w:rsid w:val="004C34BF"/>
    <w:rsid w:val="004C4D35"/>
    <w:rsid w:val="004D1015"/>
    <w:rsid w:val="004D6375"/>
    <w:rsid w:val="004E4597"/>
    <w:rsid w:val="004E4857"/>
    <w:rsid w:val="004E66E5"/>
    <w:rsid w:val="00500D5A"/>
    <w:rsid w:val="0050345D"/>
    <w:rsid w:val="00504FB6"/>
    <w:rsid w:val="005069BA"/>
    <w:rsid w:val="00507A39"/>
    <w:rsid w:val="00510F40"/>
    <w:rsid w:val="00511DB0"/>
    <w:rsid w:val="00516603"/>
    <w:rsid w:val="00522A93"/>
    <w:rsid w:val="005237CE"/>
    <w:rsid w:val="00523E38"/>
    <w:rsid w:val="00524679"/>
    <w:rsid w:val="005301E2"/>
    <w:rsid w:val="0053048F"/>
    <w:rsid w:val="00534F85"/>
    <w:rsid w:val="00536956"/>
    <w:rsid w:val="005410AC"/>
    <w:rsid w:val="0054174D"/>
    <w:rsid w:val="005418E0"/>
    <w:rsid w:val="005546DB"/>
    <w:rsid w:val="00561760"/>
    <w:rsid w:val="00562DED"/>
    <w:rsid w:val="005639E0"/>
    <w:rsid w:val="00567415"/>
    <w:rsid w:val="005714DE"/>
    <w:rsid w:val="00572952"/>
    <w:rsid w:val="00577FF3"/>
    <w:rsid w:val="00581288"/>
    <w:rsid w:val="0058303C"/>
    <w:rsid w:val="00583149"/>
    <w:rsid w:val="00583204"/>
    <w:rsid w:val="0058488F"/>
    <w:rsid w:val="00596028"/>
    <w:rsid w:val="00597075"/>
    <w:rsid w:val="005A015E"/>
    <w:rsid w:val="005A0276"/>
    <w:rsid w:val="005A2544"/>
    <w:rsid w:val="005A28DA"/>
    <w:rsid w:val="005A718C"/>
    <w:rsid w:val="005A7953"/>
    <w:rsid w:val="005B1363"/>
    <w:rsid w:val="005B2DD5"/>
    <w:rsid w:val="005B55B5"/>
    <w:rsid w:val="005C1E70"/>
    <w:rsid w:val="005C3E89"/>
    <w:rsid w:val="005C4273"/>
    <w:rsid w:val="005C4311"/>
    <w:rsid w:val="005D04AB"/>
    <w:rsid w:val="005D42CF"/>
    <w:rsid w:val="005D44F8"/>
    <w:rsid w:val="005D5D4B"/>
    <w:rsid w:val="005E1218"/>
    <w:rsid w:val="005E2853"/>
    <w:rsid w:val="005E3F5B"/>
    <w:rsid w:val="005E573A"/>
    <w:rsid w:val="005F1148"/>
    <w:rsid w:val="005F19FB"/>
    <w:rsid w:val="005F4D89"/>
    <w:rsid w:val="005F50D7"/>
    <w:rsid w:val="005F510B"/>
    <w:rsid w:val="005F5498"/>
    <w:rsid w:val="005F650C"/>
    <w:rsid w:val="0060007B"/>
    <w:rsid w:val="006018BF"/>
    <w:rsid w:val="00611F9C"/>
    <w:rsid w:val="006160B5"/>
    <w:rsid w:val="006210EC"/>
    <w:rsid w:val="0062364C"/>
    <w:rsid w:val="00630BD0"/>
    <w:rsid w:val="00640B2C"/>
    <w:rsid w:val="00641E2C"/>
    <w:rsid w:val="00646983"/>
    <w:rsid w:val="00646B8B"/>
    <w:rsid w:val="00646FAA"/>
    <w:rsid w:val="00654A7D"/>
    <w:rsid w:val="00656BCC"/>
    <w:rsid w:val="00660C2F"/>
    <w:rsid w:val="00662931"/>
    <w:rsid w:val="006632CE"/>
    <w:rsid w:val="00663DF1"/>
    <w:rsid w:val="006647C9"/>
    <w:rsid w:val="006709DD"/>
    <w:rsid w:val="006732D5"/>
    <w:rsid w:val="006744C8"/>
    <w:rsid w:val="006778D3"/>
    <w:rsid w:val="00677B30"/>
    <w:rsid w:val="0068061C"/>
    <w:rsid w:val="0068579B"/>
    <w:rsid w:val="00685E99"/>
    <w:rsid w:val="006866AE"/>
    <w:rsid w:val="006875EF"/>
    <w:rsid w:val="00697E1E"/>
    <w:rsid w:val="006A1080"/>
    <w:rsid w:val="006A7E36"/>
    <w:rsid w:val="006B4A9D"/>
    <w:rsid w:val="006B693D"/>
    <w:rsid w:val="006C4404"/>
    <w:rsid w:val="006C4C4C"/>
    <w:rsid w:val="006D5F5C"/>
    <w:rsid w:val="006E00FC"/>
    <w:rsid w:val="006E0D10"/>
    <w:rsid w:val="006E1536"/>
    <w:rsid w:val="006E227B"/>
    <w:rsid w:val="006E22F6"/>
    <w:rsid w:val="006E5A64"/>
    <w:rsid w:val="006E73E6"/>
    <w:rsid w:val="006F2DDB"/>
    <w:rsid w:val="006F389C"/>
    <w:rsid w:val="006F4FC2"/>
    <w:rsid w:val="006F5008"/>
    <w:rsid w:val="006F631F"/>
    <w:rsid w:val="007016F1"/>
    <w:rsid w:val="00704386"/>
    <w:rsid w:val="0070515F"/>
    <w:rsid w:val="00707491"/>
    <w:rsid w:val="007074CB"/>
    <w:rsid w:val="00712C3A"/>
    <w:rsid w:val="00715939"/>
    <w:rsid w:val="00717E32"/>
    <w:rsid w:val="00722939"/>
    <w:rsid w:val="00723BA0"/>
    <w:rsid w:val="00724D07"/>
    <w:rsid w:val="00730353"/>
    <w:rsid w:val="007357D0"/>
    <w:rsid w:val="00740E62"/>
    <w:rsid w:val="00745A1A"/>
    <w:rsid w:val="007461E5"/>
    <w:rsid w:val="00750378"/>
    <w:rsid w:val="007511F2"/>
    <w:rsid w:val="00753571"/>
    <w:rsid w:val="0076211E"/>
    <w:rsid w:val="0077085B"/>
    <w:rsid w:val="00771E59"/>
    <w:rsid w:val="007737F4"/>
    <w:rsid w:val="0077502C"/>
    <w:rsid w:val="00775FB5"/>
    <w:rsid w:val="00776592"/>
    <w:rsid w:val="0078023E"/>
    <w:rsid w:val="00780CDF"/>
    <w:rsid w:val="00787649"/>
    <w:rsid w:val="00787E04"/>
    <w:rsid w:val="0079254D"/>
    <w:rsid w:val="00797039"/>
    <w:rsid w:val="007A194D"/>
    <w:rsid w:val="007B3090"/>
    <w:rsid w:val="007B36AD"/>
    <w:rsid w:val="007C1680"/>
    <w:rsid w:val="007C702C"/>
    <w:rsid w:val="007D2769"/>
    <w:rsid w:val="007E0374"/>
    <w:rsid w:val="007E0F96"/>
    <w:rsid w:val="007E353D"/>
    <w:rsid w:val="007F0B91"/>
    <w:rsid w:val="007F1A88"/>
    <w:rsid w:val="007F34F5"/>
    <w:rsid w:val="007F5EF7"/>
    <w:rsid w:val="00804B87"/>
    <w:rsid w:val="00807045"/>
    <w:rsid w:val="00811D55"/>
    <w:rsid w:val="0081265C"/>
    <w:rsid w:val="008250F0"/>
    <w:rsid w:val="0083228E"/>
    <w:rsid w:val="00835F39"/>
    <w:rsid w:val="00836A27"/>
    <w:rsid w:val="008440DF"/>
    <w:rsid w:val="00844BEF"/>
    <w:rsid w:val="00845407"/>
    <w:rsid w:val="00864C97"/>
    <w:rsid w:val="00870325"/>
    <w:rsid w:val="00876C6A"/>
    <w:rsid w:val="0088208C"/>
    <w:rsid w:val="00883D40"/>
    <w:rsid w:val="00884D6F"/>
    <w:rsid w:val="00891502"/>
    <w:rsid w:val="00893ECF"/>
    <w:rsid w:val="00894B17"/>
    <w:rsid w:val="008A0247"/>
    <w:rsid w:val="008A5937"/>
    <w:rsid w:val="008A5B9D"/>
    <w:rsid w:val="008B0093"/>
    <w:rsid w:val="008B2969"/>
    <w:rsid w:val="008B3B8C"/>
    <w:rsid w:val="008C3311"/>
    <w:rsid w:val="008C33DD"/>
    <w:rsid w:val="008C3BB7"/>
    <w:rsid w:val="008C3E1E"/>
    <w:rsid w:val="008C4A61"/>
    <w:rsid w:val="008C590C"/>
    <w:rsid w:val="008C6D6E"/>
    <w:rsid w:val="008C7A3C"/>
    <w:rsid w:val="008D0E6D"/>
    <w:rsid w:val="008D3135"/>
    <w:rsid w:val="008D43AB"/>
    <w:rsid w:val="008D785E"/>
    <w:rsid w:val="008E24CD"/>
    <w:rsid w:val="008E45FA"/>
    <w:rsid w:val="008F0EEF"/>
    <w:rsid w:val="008F206F"/>
    <w:rsid w:val="008F3E3A"/>
    <w:rsid w:val="008F4E4B"/>
    <w:rsid w:val="008F5325"/>
    <w:rsid w:val="00902549"/>
    <w:rsid w:val="00903F71"/>
    <w:rsid w:val="00904599"/>
    <w:rsid w:val="00905987"/>
    <w:rsid w:val="00905DD6"/>
    <w:rsid w:val="009153AC"/>
    <w:rsid w:val="00916607"/>
    <w:rsid w:val="0092765A"/>
    <w:rsid w:val="00931122"/>
    <w:rsid w:val="00931771"/>
    <w:rsid w:val="00933D6C"/>
    <w:rsid w:val="00941354"/>
    <w:rsid w:val="009413F8"/>
    <w:rsid w:val="009416B6"/>
    <w:rsid w:val="00943B78"/>
    <w:rsid w:val="00944327"/>
    <w:rsid w:val="00944978"/>
    <w:rsid w:val="00950F0A"/>
    <w:rsid w:val="00953C9A"/>
    <w:rsid w:val="00953CB7"/>
    <w:rsid w:val="0095774E"/>
    <w:rsid w:val="00960B67"/>
    <w:rsid w:val="00961E68"/>
    <w:rsid w:val="0096410C"/>
    <w:rsid w:val="00964AE0"/>
    <w:rsid w:val="00964C55"/>
    <w:rsid w:val="0096593E"/>
    <w:rsid w:val="00967E4F"/>
    <w:rsid w:val="00970BDA"/>
    <w:rsid w:val="00972830"/>
    <w:rsid w:val="00972D77"/>
    <w:rsid w:val="0097454E"/>
    <w:rsid w:val="00982C68"/>
    <w:rsid w:val="00984726"/>
    <w:rsid w:val="00990993"/>
    <w:rsid w:val="00992A5B"/>
    <w:rsid w:val="00993A91"/>
    <w:rsid w:val="0099435D"/>
    <w:rsid w:val="0099555C"/>
    <w:rsid w:val="00996EE1"/>
    <w:rsid w:val="009A13B2"/>
    <w:rsid w:val="009B1A4C"/>
    <w:rsid w:val="009C55B0"/>
    <w:rsid w:val="009C579F"/>
    <w:rsid w:val="009C5CDE"/>
    <w:rsid w:val="009C7CF6"/>
    <w:rsid w:val="009D023E"/>
    <w:rsid w:val="009D3AC3"/>
    <w:rsid w:val="009E1C75"/>
    <w:rsid w:val="009E7AB2"/>
    <w:rsid w:val="009F0558"/>
    <w:rsid w:val="009F4551"/>
    <w:rsid w:val="009F4955"/>
    <w:rsid w:val="009F583A"/>
    <w:rsid w:val="009F6003"/>
    <w:rsid w:val="009F726B"/>
    <w:rsid w:val="00A022C2"/>
    <w:rsid w:val="00A04A5A"/>
    <w:rsid w:val="00A06B7F"/>
    <w:rsid w:val="00A07559"/>
    <w:rsid w:val="00A11598"/>
    <w:rsid w:val="00A12698"/>
    <w:rsid w:val="00A12B5F"/>
    <w:rsid w:val="00A225EA"/>
    <w:rsid w:val="00A236CA"/>
    <w:rsid w:val="00A2699C"/>
    <w:rsid w:val="00A30D03"/>
    <w:rsid w:val="00A33CCC"/>
    <w:rsid w:val="00A34351"/>
    <w:rsid w:val="00A36310"/>
    <w:rsid w:val="00A42584"/>
    <w:rsid w:val="00A428B4"/>
    <w:rsid w:val="00A50803"/>
    <w:rsid w:val="00A512DC"/>
    <w:rsid w:val="00A52C59"/>
    <w:rsid w:val="00A534B2"/>
    <w:rsid w:val="00A561F1"/>
    <w:rsid w:val="00A62518"/>
    <w:rsid w:val="00A64EFE"/>
    <w:rsid w:val="00A66712"/>
    <w:rsid w:val="00A66C8E"/>
    <w:rsid w:val="00A67C5B"/>
    <w:rsid w:val="00A70D08"/>
    <w:rsid w:val="00A727A2"/>
    <w:rsid w:val="00A7317B"/>
    <w:rsid w:val="00A80B4F"/>
    <w:rsid w:val="00A81BE8"/>
    <w:rsid w:val="00A84D04"/>
    <w:rsid w:val="00A91A72"/>
    <w:rsid w:val="00A920B5"/>
    <w:rsid w:val="00A94636"/>
    <w:rsid w:val="00A94CB8"/>
    <w:rsid w:val="00A95736"/>
    <w:rsid w:val="00A96CAD"/>
    <w:rsid w:val="00AA0923"/>
    <w:rsid w:val="00AA1B3E"/>
    <w:rsid w:val="00AA3A25"/>
    <w:rsid w:val="00AA7FAC"/>
    <w:rsid w:val="00AB0C58"/>
    <w:rsid w:val="00AB6061"/>
    <w:rsid w:val="00AB60E1"/>
    <w:rsid w:val="00AB6700"/>
    <w:rsid w:val="00AC079E"/>
    <w:rsid w:val="00AC1956"/>
    <w:rsid w:val="00AC24BC"/>
    <w:rsid w:val="00AC3B6A"/>
    <w:rsid w:val="00AC6F5A"/>
    <w:rsid w:val="00AD3F29"/>
    <w:rsid w:val="00AD4F32"/>
    <w:rsid w:val="00AD5665"/>
    <w:rsid w:val="00AD5864"/>
    <w:rsid w:val="00AD6FC1"/>
    <w:rsid w:val="00AD70A0"/>
    <w:rsid w:val="00AE11D0"/>
    <w:rsid w:val="00AE1427"/>
    <w:rsid w:val="00AE2523"/>
    <w:rsid w:val="00AE2CCD"/>
    <w:rsid w:val="00AE3593"/>
    <w:rsid w:val="00AE39D4"/>
    <w:rsid w:val="00AE4C1E"/>
    <w:rsid w:val="00AF2F3D"/>
    <w:rsid w:val="00B0171F"/>
    <w:rsid w:val="00B023B6"/>
    <w:rsid w:val="00B04CA6"/>
    <w:rsid w:val="00B0542A"/>
    <w:rsid w:val="00B07CD6"/>
    <w:rsid w:val="00B12A97"/>
    <w:rsid w:val="00B136C8"/>
    <w:rsid w:val="00B15361"/>
    <w:rsid w:val="00B157BF"/>
    <w:rsid w:val="00B1679F"/>
    <w:rsid w:val="00B1738F"/>
    <w:rsid w:val="00B3296B"/>
    <w:rsid w:val="00B33A3F"/>
    <w:rsid w:val="00B340D6"/>
    <w:rsid w:val="00B372CB"/>
    <w:rsid w:val="00B40087"/>
    <w:rsid w:val="00B40529"/>
    <w:rsid w:val="00B42720"/>
    <w:rsid w:val="00B4321E"/>
    <w:rsid w:val="00B5296E"/>
    <w:rsid w:val="00B54541"/>
    <w:rsid w:val="00B54618"/>
    <w:rsid w:val="00B54AF5"/>
    <w:rsid w:val="00B54E2B"/>
    <w:rsid w:val="00B5600A"/>
    <w:rsid w:val="00B56E9D"/>
    <w:rsid w:val="00B63EFE"/>
    <w:rsid w:val="00B66CF4"/>
    <w:rsid w:val="00B67C89"/>
    <w:rsid w:val="00B71769"/>
    <w:rsid w:val="00B72BFB"/>
    <w:rsid w:val="00B75370"/>
    <w:rsid w:val="00B75AC7"/>
    <w:rsid w:val="00B75BE6"/>
    <w:rsid w:val="00B763E8"/>
    <w:rsid w:val="00B778B9"/>
    <w:rsid w:val="00B80E59"/>
    <w:rsid w:val="00B81370"/>
    <w:rsid w:val="00B85A4E"/>
    <w:rsid w:val="00B939F7"/>
    <w:rsid w:val="00BA045B"/>
    <w:rsid w:val="00BA3C3F"/>
    <w:rsid w:val="00BA48F6"/>
    <w:rsid w:val="00BA5675"/>
    <w:rsid w:val="00BA6471"/>
    <w:rsid w:val="00BA6B9B"/>
    <w:rsid w:val="00BB08A3"/>
    <w:rsid w:val="00BB5E4F"/>
    <w:rsid w:val="00BC025C"/>
    <w:rsid w:val="00BC1E5D"/>
    <w:rsid w:val="00BC25CD"/>
    <w:rsid w:val="00BC28DF"/>
    <w:rsid w:val="00BC453E"/>
    <w:rsid w:val="00BD2EB7"/>
    <w:rsid w:val="00BE0CA7"/>
    <w:rsid w:val="00BE2A23"/>
    <w:rsid w:val="00BE3B2F"/>
    <w:rsid w:val="00BE5E1B"/>
    <w:rsid w:val="00BF0FFF"/>
    <w:rsid w:val="00BF4857"/>
    <w:rsid w:val="00C03FC8"/>
    <w:rsid w:val="00C058F4"/>
    <w:rsid w:val="00C159E2"/>
    <w:rsid w:val="00C25CB5"/>
    <w:rsid w:val="00C311FC"/>
    <w:rsid w:val="00C37D6E"/>
    <w:rsid w:val="00C439A3"/>
    <w:rsid w:val="00C4558E"/>
    <w:rsid w:val="00C45FB7"/>
    <w:rsid w:val="00C51CE5"/>
    <w:rsid w:val="00C52D12"/>
    <w:rsid w:val="00C53AB9"/>
    <w:rsid w:val="00C57F27"/>
    <w:rsid w:val="00C65D05"/>
    <w:rsid w:val="00C71AE9"/>
    <w:rsid w:val="00C71E71"/>
    <w:rsid w:val="00C75722"/>
    <w:rsid w:val="00C81C5E"/>
    <w:rsid w:val="00C82501"/>
    <w:rsid w:val="00C830CB"/>
    <w:rsid w:val="00C855E6"/>
    <w:rsid w:val="00C85DF9"/>
    <w:rsid w:val="00C8735A"/>
    <w:rsid w:val="00C91B66"/>
    <w:rsid w:val="00C93BC7"/>
    <w:rsid w:val="00CA1E8A"/>
    <w:rsid w:val="00CA2057"/>
    <w:rsid w:val="00CA5BD4"/>
    <w:rsid w:val="00CB2245"/>
    <w:rsid w:val="00CB3CF9"/>
    <w:rsid w:val="00CB448B"/>
    <w:rsid w:val="00CB452C"/>
    <w:rsid w:val="00CB58AC"/>
    <w:rsid w:val="00CC07B9"/>
    <w:rsid w:val="00CC0F55"/>
    <w:rsid w:val="00CC19B0"/>
    <w:rsid w:val="00CC1B02"/>
    <w:rsid w:val="00CC1FDE"/>
    <w:rsid w:val="00CC4592"/>
    <w:rsid w:val="00CD516C"/>
    <w:rsid w:val="00CD6E7B"/>
    <w:rsid w:val="00CD75D4"/>
    <w:rsid w:val="00CE760D"/>
    <w:rsid w:val="00CF0B75"/>
    <w:rsid w:val="00D03A63"/>
    <w:rsid w:val="00D04BAB"/>
    <w:rsid w:val="00D04BE1"/>
    <w:rsid w:val="00D05B2D"/>
    <w:rsid w:val="00D079EA"/>
    <w:rsid w:val="00D07B67"/>
    <w:rsid w:val="00D11464"/>
    <w:rsid w:val="00D11565"/>
    <w:rsid w:val="00D11EDF"/>
    <w:rsid w:val="00D1330A"/>
    <w:rsid w:val="00D150C7"/>
    <w:rsid w:val="00D151BF"/>
    <w:rsid w:val="00D15B5F"/>
    <w:rsid w:val="00D15C12"/>
    <w:rsid w:val="00D20978"/>
    <w:rsid w:val="00D27DEF"/>
    <w:rsid w:val="00D402DB"/>
    <w:rsid w:val="00D43896"/>
    <w:rsid w:val="00D43A45"/>
    <w:rsid w:val="00D444B5"/>
    <w:rsid w:val="00D468D0"/>
    <w:rsid w:val="00D471D3"/>
    <w:rsid w:val="00D516CF"/>
    <w:rsid w:val="00D53AAC"/>
    <w:rsid w:val="00D54ECC"/>
    <w:rsid w:val="00D56D32"/>
    <w:rsid w:val="00D60936"/>
    <w:rsid w:val="00D6376F"/>
    <w:rsid w:val="00D64434"/>
    <w:rsid w:val="00D6464C"/>
    <w:rsid w:val="00D65855"/>
    <w:rsid w:val="00D66862"/>
    <w:rsid w:val="00D719FA"/>
    <w:rsid w:val="00D722D7"/>
    <w:rsid w:val="00D75248"/>
    <w:rsid w:val="00D83151"/>
    <w:rsid w:val="00D85210"/>
    <w:rsid w:val="00D85B92"/>
    <w:rsid w:val="00D906DA"/>
    <w:rsid w:val="00D9099B"/>
    <w:rsid w:val="00D9122A"/>
    <w:rsid w:val="00D926C7"/>
    <w:rsid w:val="00D928EB"/>
    <w:rsid w:val="00D93CD4"/>
    <w:rsid w:val="00D944A7"/>
    <w:rsid w:val="00DA3248"/>
    <w:rsid w:val="00DA34CD"/>
    <w:rsid w:val="00DA50C6"/>
    <w:rsid w:val="00DB1275"/>
    <w:rsid w:val="00DB2E4F"/>
    <w:rsid w:val="00DB7C3D"/>
    <w:rsid w:val="00DC26A7"/>
    <w:rsid w:val="00DC47B2"/>
    <w:rsid w:val="00DC5A0F"/>
    <w:rsid w:val="00DC74C4"/>
    <w:rsid w:val="00DD17DF"/>
    <w:rsid w:val="00DD18B9"/>
    <w:rsid w:val="00DD3143"/>
    <w:rsid w:val="00DD3E72"/>
    <w:rsid w:val="00DD4A89"/>
    <w:rsid w:val="00DD4EFF"/>
    <w:rsid w:val="00DD528C"/>
    <w:rsid w:val="00DD5980"/>
    <w:rsid w:val="00DD6709"/>
    <w:rsid w:val="00DE0702"/>
    <w:rsid w:val="00DE2B57"/>
    <w:rsid w:val="00DE439D"/>
    <w:rsid w:val="00DF147F"/>
    <w:rsid w:val="00DF210B"/>
    <w:rsid w:val="00DF32FA"/>
    <w:rsid w:val="00DF4338"/>
    <w:rsid w:val="00E00D92"/>
    <w:rsid w:val="00E03DAC"/>
    <w:rsid w:val="00E06B9D"/>
    <w:rsid w:val="00E1584A"/>
    <w:rsid w:val="00E15939"/>
    <w:rsid w:val="00E16406"/>
    <w:rsid w:val="00E23C8B"/>
    <w:rsid w:val="00E2497C"/>
    <w:rsid w:val="00E24BA6"/>
    <w:rsid w:val="00E24DF4"/>
    <w:rsid w:val="00E27573"/>
    <w:rsid w:val="00E31627"/>
    <w:rsid w:val="00E3399E"/>
    <w:rsid w:val="00E35E26"/>
    <w:rsid w:val="00E3790B"/>
    <w:rsid w:val="00E42217"/>
    <w:rsid w:val="00E445EA"/>
    <w:rsid w:val="00E44B57"/>
    <w:rsid w:val="00E45977"/>
    <w:rsid w:val="00E51B56"/>
    <w:rsid w:val="00E60483"/>
    <w:rsid w:val="00E64C29"/>
    <w:rsid w:val="00E7244B"/>
    <w:rsid w:val="00E75DFC"/>
    <w:rsid w:val="00E76D1B"/>
    <w:rsid w:val="00E81CB3"/>
    <w:rsid w:val="00E8438E"/>
    <w:rsid w:val="00E86EA0"/>
    <w:rsid w:val="00E91C66"/>
    <w:rsid w:val="00E9212C"/>
    <w:rsid w:val="00E92C23"/>
    <w:rsid w:val="00E92D50"/>
    <w:rsid w:val="00E93EB9"/>
    <w:rsid w:val="00E94A15"/>
    <w:rsid w:val="00EA15EE"/>
    <w:rsid w:val="00EA2438"/>
    <w:rsid w:val="00EA25E3"/>
    <w:rsid w:val="00EA4025"/>
    <w:rsid w:val="00EA73DF"/>
    <w:rsid w:val="00EB0BE7"/>
    <w:rsid w:val="00EB4463"/>
    <w:rsid w:val="00EC45BC"/>
    <w:rsid w:val="00EC4D92"/>
    <w:rsid w:val="00EC4E76"/>
    <w:rsid w:val="00EC57AA"/>
    <w:rsid w:val="00ED093B"/>
    <w:rsid w:val="00ED2471"/>
    <w:rsid w:val="00ED4917"/>
    <w:rsid w:val="00ED63F7"/>
    <w:rsid w:val="00EE2467"/>
    <w:rsid w:val="00EE5B98"/>
    <w:rsid w:val="00EF0DD4"/>
    <w:rsid w:val="00EF2B81"/>
    <w:rsid w:val="00EF3F32"/>
    <w:rsid w:val="00EF6D8C"/>
    <w:rsid w:val="00EF7318"/>
    <w:rsid w:val="00EF78EB"/>
    <w:rsid w:val="00EF79F6"/>
    <w:rsid w:val="00F02905"/>
    <w:rsid w:val="00F0331C"/>
    <w:rsid w:val="00F03E54"/>
    <w:rsid w:val="00F04D55"/>
    <w:rsid w:val="00F076E2"/>
    <w:rsid w:val="00F1032A"/>
    <w:rsid w:val="00F110BE"/>
    <w:rsid w:val="00F16201"/>
    <w:rsid w:val="00F172FB"/>
    <w:rsid w:val="00F20453"/>
    <w:rsid w:val="00F2175C"/>
    <w:rsid w:val="00F2175D"/>
    <w:rsid w:val="00F23E3C"/>
    <w:rsid w:val="00F24685"/>
    <w:rsid w:val="00F24D62"/>
    <w:rsid w:val="00F27210"/>
    <w:rsid w:val="00F27694"/>
    <w:rsid w:val="00F27B1A"/>
    <w:rsid w:val="00F31C7C"/>
    <w:rsid w:val="00F32C8A"/>
    <w:rsid w:val="00F36E86"/>
    <w:rsid w:val="00F43975"/>
    <w:rsid w:val="00F44548"/>
    <w:rsid w:val="00F51919"/>
    <w:rsid w:val="00F54867"/>
    <w:rsid w:val="00F558F8"/>
    <w:rsid w:val="00F55F2E"/>
    <w:rsid w:val="00F575BA"/>
    <w:rsid w:val="00F60013"/>
    <w:rsid w:val="00F637D3"/>
    <w:rsid w:val="00F65524"/>
    <w:rsid w:val="00F71FA0"/>
    <w:rsid w:val="00F72C74"/>
    <w:rsid w:val="00F73792"/>
    <w:rsid w:val="00F76679"/>
    <w:rsid w:val="00F839D7"/>
    <w:rsid w:val="00F86743"/>
    <w:rsid w:val="00F868B7"/>
    <w:rsid w:val="00F9143A"/>
    <w:rsid w:val="00F928B2"/>
    <w:rsid w:val="00F93A7F"/>
    <w:rsid w:val="00FA12D9"/>
    <w:rsid w:val="00FA490A"/>
    <w:rsid w:val="00FA6428"/>
    <w:rsid w:val="00FA65E9"/>
    <w:rsid w:val="00FB0D2B"/>
    <w:rsid w:val="00FB1596"/>
    <w:rsid w:val="00FB39FF"/>
    <w:rsid w:val="00FB50E0"/>
    <w:rsid w:val="00FC1E74"/>
    <w:rsid w:val="00FC4A3F"/>
    <w:rsid w:val="00FC5E9B"/>
    <w:rsid w:val="00FC6C50"/>
    <w:rsid w:val="00FD2B82"/>
    <w:rsid w:val="00FD7DC9"/>
    <w:rsid w:val="00FE0CE4"/>
    <w:rsid w:val="00FE2523"/>
    <w:rsid w:val="00FE3A24"/>
    <w:rsid w:val="00FF019B"/>
    <w:rsid w:val="00FF0227"/>
    <w:rsid w:val="00FF08FF"/>
    <w:rsid w:val="00FF0F9D"/>
    <w:rsid w:val="00FF50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75504"/>
  <w15:chartTrackingRefBased/>
  <w15:docId w15:val="{C6B36CDF-EA7A-4CA8-BB12-AA385AD7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Hyperlink">
    <w:name w:val="Hyperlink"/>
    <w:rsid w:val="008D43AB"/>
    <w:rPr>
      <w:color w:val="0563C1"/>
      <w:u w:val="single"/>
    </w:rPr>
  </w:style>
  <w:style w:type="character" w:styleId="UnresolvedMention">
    <w:name w:val="Unresolved Mention"/>
    <w:uiPriority w:val="99"/>
    <w:semiHidden/>
    <w:unhideWhenUsed/>
    <w:rsid w:val="008D4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71362">
      <w:bodyDiv w:val="1"/>
      <w:marLeft w:val="0"/>
      <w:marRight w:val="0"/>
      <w:marTop w:val="0"/>
      <w:marBottom w:val="0"/>
      <w:divBdr>
        <w:top w:val="none" w:sz="0" w:space="0" w:color="auto"/>
        <w:left w:val="none" w:sz="0" w:space="0" w:color="auto"/>
        <w:bottom w:val="none" w:sz="0" w:space="0" w:color="auto"/>
        <w:right w:val="none" w:sz="0" w:space="0" w:color="auto"/>
      </w:divBdr>
    </w:div>
    <w:div w:id="500857619">
      <w:bodyDiv w:val="1"/>
      <w:marLeft w:val="0"/>
      <w:marRight w:val="0"/>
      <w:marTop w:val="0"/>
      <w:marBottom w:val="0"/>
      <w:divBdr>
        <w:top w:val="none" w:sz="0" w:space="0" w:color="auto"/>
        <w:left w:val="none" w:sz="0" w:space="0" w:color="auto"/>
        <w:bottom w:val="none" w:sz="0" w:space="0" w:color="auto"/>
        <w:right w:val="none" w:sz="0" w:space="0" w:color="auto"/>
      </w:divBdr>
      <w:divsChild>
        <w:div w:id="1835759951">
          <w:marLeft w:val="0"/>
          <w:marRight w:val="0"/>
          <w:marTop w:val="0"/>
          <w:marBottom w:val="0"/>
          <w:divBdr>
            <w:top w:val="none" w:sz="0" w:space="0" w:color="auto"/>
            <w:left w:val="none" w:sz="0" w:space="0" w:color="auto"/>
            <w:bottom w:val="none" w:sz="0" w:space="0" w:color="auto"/>
            <w:right w:val="none" w:sz="0" w:space="0" w:color="auto"/>
          </w:divBdr>
        </w:div>
        <w:div w:id="165948486">
          <w:marLeft w:val="0"/>
          <w:marRight w:val="0"/>
          <w:marTop w:val="0"/>
          <w:marBottom w:val="0"/>
          <w:divBdr>
            <w:top w:val="none" w:sz="0" w:space="0" w:color="auto"/>
            <w:left w:val="none" w:sz="0" w:space="0" w:color="auto"/>
            <w:bottom w:val="none" w:sz="0" w:space="0" w:color="auto"/>
            <w:right w:val="none" w:sz="0" w:space="0" w:color="auto"/>
          </w:divBdr>
        </w:div>
        <w:div w:id="1761028115">
          <w:marLeft w:val="0"/>
          <w:marRight w:val="0"/>
          <w:marTop w:val="0"/>
          <w:marBottom w:val="0"/>
          <w:divBdr>
            <w:top w:val="none" w:sz="0" w:space="0" w:color="auto"/>
            <w:left w:val="none" w:sz="0" w:space="0" w:color="auto"/>
            <w:bottom w:val="none" w:sz="0" w:space="0" w:color="auto"/>
            <w:right w:val="none" w:sz="0" w:space="0" w:color="auto"/>
          </w:divBdr>
          <w:divsChild>
            <w:div w:id="52899506">
              <w:blockQuote w:val="1"/>
              <w:marLeft w:val="0"/>
              <w:marRight w:val="0"/>
              <w:marTop w:val="0"/>
              <w:marBottom w:val="0"/>
              <w:divBdr>
                <w:top w:val="none" w:sz="0" w:space="0" w:color="auto"/>
                <w:left w:val="none" w:sz="0" w:space="0" w:color="auto"/>
                <w:bottom w:val="none" w:sz="0" w:space="0" w:color="auto"/>
                <w:right w:val="none" w:sz="0" w:space="0" w:color="auto"/>
              </w:divBdr>
              <w:divsChild>
                <w:div w:id="584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4363">
          <w:marLeft w:val="0"/>
          <w:marRight w:val="0"/>
          <w:marTop w:val="0"/>
          <w:marBottom w:val="0"/>
          <w:divBdr>
            <w:top w:val="none" w:sz="0" w:space="0" w:color="auto"/>
            <w:left w:val="none" w:sz="0" w:space="0" w:color="auto"/>
            <w:bottom w:val="none" w:sz="0" w:space="0" w:color="auto"/>
            <w:right w:val="none" w:sz="0" w:space="0" w:color="auto"/>
          </w:divBdr>
        </w:div>
        <w:div w:id="316232881">
          <w:marLeft w:val="0"/>
          <w:marRight w:val="0"/>
          <w:marTop w:val="0"/>
          <w:marBottom w:val="0"/>
          <w:divBdr>
            <w:top w:val="none" w:sz="0" w:space="0" w:color="auto"/>
            <w:left w:val="none" w:sz="0" w:space="0" w:color="auto"/>
            <w:bottom w:val="none" w:sz="0" w:space="0" w:color="auto"/>
            <w:right w:val="none" w:sz="0" w:space="0" w:color="auto"/>
          </w:divBdr>
        </w:div>
      </w:divsChild>
    </w:div>
    <w:div w:id="549733459">
      <w:bodyDiv w:val="1"/>
      <w:marLeft w:val="0"/>
      <w:marRight w:val="0"/>
      <w:marTop w:val="0"/>
      <w:marBottom w:val="0"/>
      <w:divBdr>
        <w:top w:val="none" w:sz="0" w:space="0" w:color="auto"/>
        <w:left w:val="none" w:sz="0" w:space="0" w:color="auto"/>
        <w:bottom w:val="none" w:sz="0" w:space="0" w:color="auto"/>
        <w:right w:val="none" w:sz="0" w:space="0" w:color="auto"/>
      </w:divBdr>
      <w:divsChild>
        <w:div w:id="1120415928">
          <w:marLeft w:val="0"/>
          <w:marRight w:val="0"/>
          <w:marTop w:val="0"/>
          <w:marBottom w:val="0"/>
          <w:divBdr>
            <w:top w:val="none" w:sz="0" w:space="0" w:color="auto"/>
            <w:left w:val="none" w:sz="0" w:space="0" w:color="auto"/>
            <w:bottom w:val="none" w:sz="0" w:space="0" w:color="auto"/>
            <w:right w:val="none" w:sz="0" w:space="0" w:color="auto"/>
          </w:divBdr>
          <w:divsChild>
            <w:div w:id="1739010523">
              <w:marLeft w:val="0"/>
              <w:marRight w:val="0"/>
              <w:marTop w:val="0"/>
              <w:marBottom w:val="0"/>
              <w:divBdr>
                <w:top w:val="none" w:sz="0" w:space="0" w:color="auto"/>
                <w:left w:val="none" w:sz="0" w:space="0" w:color="auto"/>
                <w:bottom w:val="none" w:sz="0" w:space="0" w:color="auto"/>
                <w:right w:val="none" w:sz="0" w:space="0" w:color="auto"/>
              </w:divBdr>
            </w:div>
          </w:divsChild>
        </w:div>
        <w:div w:id="1085033745">
          <w:marLeft w:val="0"/>
          <w:marRight w:val="0"/>
          <w:marTop w:val="0"/>
          <w:marBottom w:val="0"/>
          <w:divBdr>
            <w:top w:val="none" w:sz="0" w:space="0" w:color="auto"/>
            <w:left w:val="none" w:sz="0" w:space="0" w:color="auto"/>
            <w:bottom w:val="none" w:sz="0" w:space="0" w:color="auto"/>
            <w:right w:val="none" w:sz="0" w:space="0" w:color="auto"/>
          </w:divBdr>
          <w:divsChild>
            <w:div w:id="3571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333">
      <w:bodyDiv w:val="1"/>
      <w:marLeft w:val="0"/>
      <w:marRight w:val="0"/>
      <w:marTop w:val="0"/>
      <w:marBottom w:val="0"/>
      <w:divBdr>
        <w:top w:val="none" w:sz="0" w:space="0" w:color="auto"/>
        <w:left w:val="none" w:sz="0" w:space="0" w:color="auto"/>
        <w:bottom w:val="none" w:sz="0" w:space="0" w:color="auto"/>
        <w:right w:val="none" w:sz="0" w:space="0" w:color="auto"/>
      </w:divBdr>
      <w:divsChild>
        <w:div w:id="1351024678">
          <w:marLeft w:val="0"/>
          <w:marRight w:val="0"/>
          <w:marTop w:val="0"/>
          <w:marBottom w:val="0"/>
          <w:divBdr>
            <w:top w:val="none" w:sz="0" w:space="0" w:color="auto"/>
            <w:left w:val="none" w:sz="0" w:space="0" w:color="auto"/>
            <w:bottom w:val="none" w:sz="0" w:space="0" w:color="auto"/>
            <w:right w:val="none" w:sz="0" w:space="0" w:color="auto"/>
          </w:divBdr>
          <w:divsChild>
            <w:div w:id="1644039745">
              <w:marLeft w:val="0"/>
              <w:marRight w:val="0"/>
              <w:marTop w:val="0"/>
              <w:marBottom w:val="0"/>
              <w:divBdr>
                <w:top w:val="none" w:sz="0" w:space="0" w:color="auto"/>
                <w:left w:val="none" w:sz="0" w:space="0" w:color="auto"/>
                <w:bottom w:val="none" w:sz="0" w:space="0" w:color="auto"/>
                <w:right w:val="none" w:sz="0" w:space="0" w:color="auto"/>
              </w:divBdr>
            </w:div>
          </w:divsChild>
        </w:div>
        <w:div w:id="285820752">
          <w:marLeft w:val="0"/>
          <w:marRight w:val="0"/>
          <w:marTop w:val="0"/>
          <w:marBottom w:val="0"/>
          <w:divBdr>
            <w:top w:val="none" w:sz="0" w:space="0" w:color="auto"/>
            <w:left w:val="none" w:sz="0" w:space="0" w:color="auto"/>
            <w:bottom w:val="none" w:sz="0" w:space="0" w:color="auto"/>
            <w:right w:val="none" w:sz="0" w:space="0" w:color="auto"/>
          </w:divBdr>
          <w:divsChild>
            <w:div w:id="11249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61234">
      <w:bodyDiv w:val="1"/>
      <w:marLeft w:val="0"/>
      <w:marRight w:val="0"/>
      <w:marTop w:val="0"/>
      <w:marBottom w:val="0"/>
      <w:divBdr>
        <w:top w:val="none" w:sz="0" w:space="0" w:color="auto"/>
        <w:left w:val="none" w:sz="0" w:space="0" w:color="auto"/>
        <w:bottom w:val="none" w:sz="0" w:space="0" w:color="auto"/>
        <w:right w:val="none" w:sz="0" w:space="0" w:color="auto"/>
      </w:divBdr>
      <w:divsChild>
        <w:div w:id="1727754519">
          <w:marLeft w:val="0"/>
          <w:marRight w:val="0"/>
          <w:marTop w:val="0"/>
          <w:marBottom w:val="0"/>
          <w:divBdr>
            <w:top w:val="none" w:sz="0" w:space="0" w:color="auto"/>
            <w:left w:val="none" w:sz="0" w:space="0" w:color="auto"/>
            <w:bottom w:val="none" w:sz="0" w:space="0" w:color="auto"/>
            <w:right w:val="none" w:sz="0" w:space="0" w:color="auto"/>
          </w:divBdr>
          <w:divsChild>
            <w:div w:id="2142919923">
              <w:marLeft w:val="0"/>
              <w:marRight w:val="0"/>
              <w:marTop w:val="0"/>
              <w:marBottom w:val="0"/>
              <w:divBdr>
                <w:top w:val="none" w:sz="0" w:space="0" w:color="auto"/>
                <w:left w:val="none" w:sz="0" w:space="0" w:color="auto"/>
                <w:bottom w:val="none" w:sz="0" w:space="0" w:color="auto"/>
                <w:right w:val="none" w:sz="0" w:space="0" w:color="auto"/>
              </w:divBdr>
            </w:div>
          </w:divsChild>
        </w:div>
        <w:div w:id="258412933">
          <w:marLeft w:val="0"/>
          <w:marRight w:val="0"/>
          <w:marTop w:val="0"/>
          <w:marBottom w:val="0"/>
          <w:divBdr>
            <w:top w:val="none" w:sz="0" w:space="0" w:color="auto"/>
            <w:left w:val="none" w:sz="0" w:space="0" w:color="auto"/>
            <w:bottom w:val="none" w:sz="0" w:space="0" w:color="auto"/>
            <w:right w:val="none" w:sz="0" w:space="0" w:color="auto"/>
          </w:divBdr>
          <w:divsChild>
            <w:div w:id="987632528">
              <w:marLeft w:val="0"/>
              <w:marRight w:val="0"/>
              <w:marTop w:val="0"/>
              <w:marBottom w:val="0"/>
              <w:divBdr>
                <w:top w:val="none" w:sz="0" w:space="0" w:color="auto"/>
                <w:left w:val="none" w:sz="0" w:space="0" w:color="auto"/>
                <w:bottom w:val="none" w:sz="0" w:space="0" w:color="auto"/>
                <w:right w:val="none" w:sz="0" w:space="0" w:color="auto"/>
              </w:divBdr>
            </w:div>
          </w:divsChild>
        </w:div>
        <w:div w:id="624971209">
          <w:marLeft w:val="0"/>
          <w:marRight w:val="0"/>
          <w:marTop w:val="0"/>
          <w:marBottom w:val="0"/>
          <w:divBdr>
            <w:top w:val="none" w:sz="0" w:space="0" w:color="auto"/>
            <w:left w:val="none" w:sz="0" w:space="0" w:color="auto"/>
            <w:bottom w:val="none" w:sz="0" w:space="0" w:color="auto"/>
            <w:right w:val="none" w:sz="0" w:space="0" w:color="auto"/>
          </w:divBdr>
          <w:divsChild>
            <w:div w:id="467741740">
              <w:marLeft w:val="0"/>
              <w:marRight w:val="0"/>
              <w:marTop w:val="0"/>
              <w:marBottom w:val="0"/>
              <w:divBdr>
                <w:top w:val="none" w:sz="0" w:space="0" w:color="auto"/>
                <w:left w:val="none" w:sz="0" w:space="0" w:color="auto"/>
                <w:bottom w:val="none" w:sz="0" w:space="0" w:color="auto"/>
                <w:right w:val="none" w:sz="0" w:space="0" w:color="auto"/>
              </w:divBdr>
            </w:div>
          </w:divsChild>
        </w:div>
        <w:div w:id="1660697644">
          <w:marLeft w:val="0"/>
          <w:marRight w:val="0"/>
          <w:marTop w:val="0"/>
          <w:marBottom w:val="0"/>
          <w:divBdr>
            <w:top w:val="none" w:sz="0" w:space="0" w:color="auto"/>
            <w:left w:val="none" w:sz="0" w:space="0" w:color="auto"/>
            <w:bottom w:val="none" w:sz="0" w:space="0" w:color="auto"/>
            <w:right w:val="none" w:sz="0" w:space="0" w:color="auto"/>
          </w:divBdr>
          <w:divsChild>
            <w:div w:id="6603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eyLordJustice\AppData\Roaming\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8D71330B0C2549B31E9CAA61AC1BC3" ma:contentTypeVersion="13" ma:contentTypeDescription="Create a new document." ma:contentTypeScope="" ma:versionID="ad6901d415d71aadbe9a82d6f964d0b1">
  <xsd:schema xmlns:xsd="http://www.w3.org/2001/XMLSchema" xmlns:xs="http://www.w3.org/2001/XMLSchema" xmlns:p="http://schemas.microsoft.com/office/2006/metadata/properties" xmlns:ns3="a43c54ca-90c5-4eb2-9b56-d69f0a03b442" xmlns:ns4="36d64681-489a-459f-a53c-1f862f465b6d" targetNamespace="http://schemas.microsoft.com/office/2006/metadata/properties" ma:root="true" ma:fieldsID="cb93b9061a5b493232a844f1334c8952" ns3:_="" ns4:_="">
    <xsd:import namespace="a43c54ca-90c5-4eb2-9b56-d69f0a03b442"/>
    <xsd:import namespace="36d64681-489a-459f-a53c-1f862f465b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54ca-90c5-4eb2-9b56-d69f0a03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64681-489a-459f-a53c-1f862f465b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7443F-B151-4CFE-B15C-5992F0C8DFA4}">
  <ds:schemaRefs>
    <ds:schemaRef ds:uri="http://schemas.openxmlformats.org/officeDocument/2006/bibliography"/>
  </ds:schemaRefs>
</ds:datastoreItem>
</file>

<file path=customXml/itemProps2.xml><?xml version="1.0" encoding="utf-8"?>
<ds:datastoreItem xmlns:ds="http://schemas.openxmlformats.org/officeDocument/2006/customXml" ds:itemID="{40411FAA-2BC3-46B6-89F6-01528F30F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4E3F91-71B2-447F-97BA-30CBAC0D164F}">
  <ds:schemaRefs>
    <ds:schemaRef ds:uri="http://schemas.microsoft.com/sharepoint/v3/contenttype/forms"/>
  </ds:schemaRefs>
</ds:datastoreItem>
</file>

<file path=customXml/itemProps4.xml><?xml version="1.0" encoding="utf-8"?>
<ds:datastoreItem xmlns:ds="http://schemas.openxmlformats.org/officeDocument/2006/customXml" ds:itemID="{926EEB11-F817-4D64-8CFF-246667361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54ca-90c5-4eb2-9b56-d69f0a03b442"/>
    <ds:schemaRef ds:uri="36d64681-489a-459f-a53c-1f862f46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1</Pages>
  <Words>6560</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Eileen</cp:lastModifiedBy>
  <cp:revision>2</cp:revision>
  <cp:lastPrinted>2021-05-08T11:59:00Z</cp:lastPrinted>
  <dcterms:created xsi:type="dcterms:W3CDTF">2021-05-18T10:02:00Z</dcterms:created>
  <dcterms:modified xsi:type="dcterms:W3CDTF">2021-05-18T10:02:00Z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B2/2020/1164</vt:lpwstr>
  </property>
  <property fmtid="{D5CDD505-2E9C-101B-9397-08002B2CF9AE}" pid="9" name="NCJudge">
    <vt:lpwstr>LADY JUSTICE NEWEY</vt:lpwstr>
  </property>
  <property fmtid="{D5CDD505-2E9C-101B-9397-08002B2CF9AE}" pid="10" name="ContentTypeId">
    <vt:lpwstr>0x010100838D71330B0C2549B31E9CAA61AC1BC3</vt:lpwstr>
  </property>
  <property fmtid="{D5CDD505-2E9C-101B-9397-08002B2CF9AE}" pid="11" name="NCJudgeDate">
    <vt:lpwstr>18/05/2021</vt:lpwstr>
  </property>
  <property fmtid="{D5CDD505-2E9C-101B-9397-08002B2CF9AE}" pid="12" name="NCNumber">
    <vt:lpwstr>[2021] EWCA Civ 720</vt:lpwstr>
  </property>
</Properties>
</file>